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宋体"/>
          <w:b/>
          <w:bCs/>
          <w:spacing w:val="-17"/>
          <w:sz w:val="44"/>
          <w:szCs w:val="44"/>
        </w:rPr>
      </w:pPr>
    </w:p>
    <w:p>
      <w:pPr>
        <w:spacing w:line="600" w:lineRule="exact"/>
        <w:jc w:val="center"/>
        <w:rPr>
          <w:rFonts w:ascii="宋体"/>
          <w:b/>
          <w:bCs/>
          <w:spacing w:val="-17"/>
          <w:sz w:val="44"/>
          <w:szCs w:val="44"/>
        </w:rPr>
      </w:pPr>
    </w:p>
    <w:p>
      <w:pPr>
        <w:jc w:val="center"/>
        <w:rPr>
          <w:rFonts w:ascii="宋体"/>
          <w:b/>
          <w:bCs/>
          <w:sz w:val="44"/>
          <w:szCs w:val="44"/>
          <w:lang w:val="ru-RU"/>
        </w:rPr>
      </w:pPr>
      <w:r>
        <w:rPr>
          <w:rFonts w:ascii="宋体" w:hAnsi="宋体"/>
          <w:b/>
          <w:bCs/>
          <w:spacing w:val="-17"/>
          <w:sz w:val="44"/>
          <w:szCs w:val="44"/>
        </w:rPr>
        <w:t xml:space="preserve">  </w:t>
      </w:r>
      <w:r>
        <w:rPr>
          <w:rFonts w:hint="eastAsia" w:ascii="宋体" w:hAnsi="宋体"/>
          <w:b/>
          <w:bCs/>
          <w:spacing w:val="-17"/>
          <w:sz w:val="44"/>
          <w:szCs w:val="44"/>
        </w:rPr>
        <w:t>省对外科技交流中心关于组织参加</w:t>
      </w:r>
    </w:p>
    <w:p>
      <w:pPr>
        <w:jc w:val="center"/>
        <w:rPr>
          <w:rFonts w:ascii="宋体"/>
          <w:b/>
          <w:bCs/>
          <w:spacing w:val="-17"/>
          <w:sz w:val="44"/>
          <w:szCs w:val="44"/>
        </w:rPr>
      </w:pPr>
      <w:r>
        <w:rPr>
          <w:rFonts w:ascii="宋体" w:hAnsi="宋体"/>
          <w:b/>
          <w:bCs/>
          <w:spacing w:val="-17"/>
          <w:sz w:val="44"/>
          <w:szCs w:val="44"/>
        </w:rPr>
        <w:t xml:space="preserve">   2021</w:t>
      </w:r>
      <w:r>
        <w:rPr>
          <w:rFonts w:hint="eastAsia" w:ascii="宋体" w:hAnsi="宋体"/>
          <w:b/>
          <w:bCs/>
          <w:spacing w:val="-17"/>
          <w:sz w:val="44"/>
          <w:szCs w:val="44"/>
        </w:rPr>
        <w:t>英国生命科学技术对接会的通知</w:t>
      </w:r>
    </w:p>
    <w:p>
      <w:pPr>
        <w:spacing w:line="600" w:lineRule="exact"/>
        <w:rPr>
          <w:rFonts w:ascii="Times New Roman" w:hAnsi="Times New Roman" w:eastAsia="仿宋"/>
          <w:sz w:val="32"/>
          <w:szCs w:val="32"/>
        </w:rPr>
      </w:pPr>
    </w:p>
    <w:p>
      <w:pPr>
        <w:spacing w:line="600" w:lineRule="exact"/>
        <w:ind w:firstLine="480" w:firstLineChars="150"/>
        <w:rPr>
          <w:rFonts w:ascii="仿宋_GB2312" w:hAnsi="仿宋" w:eastAsia="仿宋_GB2312"/>
          <w:sz w:val="32"/>
          <w:szCs w:val="32"/>
        </w:rPr>
      </w:pPr>
      <w:r>
        <w:rPr>
          <w:rFonts w:hint="eastAsia" w:ascii="仿宋_GB2312" w:hAnsi="仿宋" w:eastAsia="仿宋_GB2312"/>
          <w:sz w:val="32"/>
          <w:szCs w:val="32"/>
        </w:rPr>
        <w:t>各有关单位：</w:t>
      </w:r>
    </w:p>
    <w:p>
      <w:pPr>
        <w:ind w:left="478" w:leftChars="228" w:firstLine="640" w:firstLineChars="200"/>
        <w:rPr>
          <w:rFonts w:ascii="仿宋_GB2312" w:eastAsia="仿宋_GB2312"/>
          <w:sz w:val="32"/>
          <w:szCs w:val="32"/>
        </w:rPr>
      </w:pPr>
      <w:r>
        <w:rPr>
          <w:rFonts w:hint="eastAsia" w:ascii="仿宋_GB2312" w:hAnsi="仿宋" w:eastAsia="仿宋_GB2312"/>
          <w:sz w:val="32"/>
          <w:szCs w:val="32"/>
        </w:rPr>
        <w:t>为进一步深化和拓展中英双方在生命科学领域开展科技交流与创新合作，提升合作层级和水平，经湖北省科学技术厅同意，湖北省对外科技交流中心定于</w:t>
      </w:r>
      <w:r>
        <w:rPr>
          <w:rFonts w:ascii="仿宋_GB2312" w:hAnsi="仿宋" w:eastAsia="仿宋_GB2312"/>
          <w:sz w:val="32"/>
          <w:szCs w:val="32"/>
        </w:rPr>
        <w:t>4</w:t>
      </w:r>
      <w:r>
        <w:rPr>
          <w:rFonts w:hint="eastAsia" w:ascii="仿宋_GB2312" w:hAnsi="仿宋" w:eastAsia="仿宋_GB2312"/>
          <w:sz w:val="32"/>
          <w:szCs w:val="32"/>
        </w:rPr>
        <w:t>月</w:t>
      </w:r>
      <w:r>
        <w:rPr>
          <w:rFonts w:ascii="仿宋_GB2312" w:hAnsi="仿宋" w:eastAsia="仿宋_GB2312"/>
          <w:sz w:val="32"/>
          <w:szCs w:val="32"/>
        </w:rPr>
        <w:t>22</w:t>
      </w:r>
      <w:r>
        <w:rPr>
          <w:rFonts w:hint="eastAsia" w:ascii="仿宋_GB2312" w:hAnsi="仿宋" w:eastAsia="仿宋_GB2312"/>
          <w:sz w:val="32"/>
          <w:szCs w:val="32"/>
        </w:rPr>
        <w:t>日举办</w:t>
      </w:r>
      <w:r>
        <w:rPr>
          <w:rFonts w:ascii="仿宋_GB2312" w:hAnsi="仿宋" w:eastAsia="仿宋_GB2312"/>
          <w:sz w:val="32"/>
          <w:szCs w:val="32"/>
        </w:rPr>
        <w:t>2021</w:t>
      </w:r>
      <w:r>
        <w:rPr>
          <w:rFonts w:hint="eastAsia" w:ascii="仿宋_GB2312" w:eastAsia="仿宋_GB2312"/>
          <w:sz w:val="32"/>
          <w:szCs w:val="32"/>
        </w:rPr>
        <w:t>英国生命科学技术对接会，该活动为</w:t>
      </w:r>
      <w:r>
        <w:rPr>
          <w:rFonts w:ascii="仿宋_GB2312" w:hAnsi="仿宋" w:eastAsia="仿宋_GB2312"/>
          <w:sz w:val="32"/>
          <w:szCs w:val="32"/>
        </w:rPr>
        <w:t>2021</w:t>
      </w:r>
      <w:r>
        <w:rPr>
          <w:rFonts w:hint="eastAsia" w:ascii="仿宋_GB2312" w:hAnsi="仿宋" w:eastAsia="仿宋_GB2312"/>
          <w:sz w:val="32"/>
          <w:szCs w:val="32"/>
        </w:rPr>
        <w:t>湖北国际技术对接洽谈会系列配套活动之一，</w:t>
      </w:r>
      <w:r>
        <w:rPr>
          <w:rFonts w:hint="eastAsia" w:ascii="仿宋_GB2312" w:eastAsia="仿宋_GB2312"/>
          <w:sz w:val="32"/>
          <w:szCs w:val="32"/>
        </w:rPr>
        <w:t>现将有关事项通知如下：</w:t>
      </w:r>
    </w:p>
    <w:p>
      <w:pPr>
        <w:spacing w:line="600" w:lineRule="exact"/>
        <w:ind w:firstLine="1152" w:firstLineChars="360"/>
        <w:rPr>
          <w:rFonts w:ascii="黑体" w:hAnsi="宋体" w:eastAsia="黑体"/>
          <w:sz w:val="32"/>
          <w:szCs w:val="32"/>
        </w:rPr>
      </w:pPr>
      <w:r>
        <w:rPr>
          <w:rFonts w:hint="eastAsia" w:ascii="黑体" w:hAnsi="宋体" w:eastAsia="黑体"/>
          <w:sz w:val="32"/>
          <w:szCs w:val="32"/>
        </w:rPr>
        <w:t>一、会议时间</w:t>
      </w:r>
    </w:p>
    <w:p>
      <w:pPr>
        <w:widowControl/>
        <w:shd w:val="clear" w:color="auto" w:fill="FFFFFF"/>
        <w:spacing w:line="600" w:lineRule="exact"/>
        <w:ind w:firstLine="1152" w:firstLineChars="360"/>
        <w:jc w:val="left"/>
        <w:textAlignment w:val="baseline"/>
        <w:rPr>
          <w:rFonts w:ascii="仿宋_GB2312" w:hAnsi="Times New Roman" w:eastAsia="仿宋_GB2312"/>
          <w:color w:val="333333"/>
          <w:kern w:val="0"/>
          <w:sz w:val="32"/>
          <w:szCs w:val="32"/>
        </w:rPr>
      </w:pPr>
      <w:r>
        <w:rPr>
          <w:rFonts w:ascii="仿宋_GB2312" w:hAnsi="Times New Roman" w:eastAsia="仿宋_GB2312"/>
          <w:color w:val="333333"/>
          <w:kern w:val="0"/>
          <w:sz w:val="32"/>
          <w:szCs w:val="32"/>
        </w:rPr>
        <w:t>2021</w:t>
      </w:r>
      <w:r>
        <w:rPr>
          <w:rFonts w:hint="eastAsia" w:ascii="仿宋_GB2312" w:hAnsi="Times New Roman" w:eastAsia="仿宋_GB2312"/>
          <w:color w:val="333333"/>
          <w:kern w:val="0"/>
          <w:sz w:val="32"/>
          <w:szCs w:val="32"/>
        </w:rPr>
        <w:t>年</w:t>
      </w:r>
      <w:r>
        <w:rPr>
          <w:rFonts w:ascii="仿宋_GB2312" w:hAnsi="Times New Roman" w:eastAsia="仿宋_GB2312"/>
          <w:color w:val="333333"/>
          <w:kern w:val="0"/>
          <w:sz w:val="32"/>
          <w:szCs w:val="32"/>
        </w:rPr>
        <w:t>4</w:t>
      </w:r>
      <w:r>
        <w:rPr>
          <w:rFonts w:hint="eastAsia" w:ascii="仿宋_GB2312" w:hAnsi="Times New Roman" w:eastAsia="仿宋_GB2312"/>
          <w:color w:val="333333"/>
          <w:kern w:val="0"/>
          <w:sz w:val="32"/>
          <w:szCs w:val="32"/>
        </w:rPr>
        <w:t>月</w:t>
      </w:r>
      <w:r>
        <w:rPr>
          <w:rFonts w:ascii="仿宋_GB2312" w:hAnsi="Times New Roman" w:eastAsia="仿宋_GB2312"/>
          <w:color w:val="333333"/>
          <w:kern w:val="0"/>
          <w:sz w:val="32"/>
          <w:szCs w:val="32"/>
        </w:rPr>
        <w:t>22</w:t>
      </w:r>
      <w:r>
        <w:rPr>
          <w:rFonts w:hint="eastAsia" w:ascii="仿宋_GB2312" w:hAnsi="Times New Roman" w:eastAsia="仿宋_GB2312"/>
          <w:color w:val="333333"/>
          <w:kern w:val="0"/>
          <w:sz w:val="32"/>
          <w:szCs w:val="32"/>
        </w:rPr>
        <w:t>日下午</w:t>
      </w:r>
      <w:r>
        <w:rPr>
          <w:rFonts w:ascii="仿宋_GB2312" w:hAnsi="Times New Roman" w:eastAsia="仿宋_GB2312"/>
          <w:color w:val="333333"/>
          <w:kern w:val="0"/>
          <w:sz w:val="32"/>
          <w:szCs w:val="32"/>
        </w:rPr>
        <w:t>15:30-18:50</w:t>
      </w:r>
    </w:p>
    <w:p>
      <w:pPr>
        <w:spacing w:line="600" w:lineRule="exact"/>
        <w:ind w:firstLine="1152" w:firstLineChars="360"/>
        <w:rPr>
          <w:rFonts w:ascii="黑体" w:hAnsi="宋体" w:eastAsia="黑体"/>
          <w:sz w:val="32"/>
          <w:szCs w:val="32"/>
        </w:rPr>
      </w:pPr>
      <w:r>
        <w:rPr>
          <w:rFonts w:hint="eastAsia" w:ascii="黑体" w:hAnsi="宋体" w:eastAsia="黑体"/>
          <w:sz w:val="32"/>
          <w:szCs w:val="32"/>
        </w:rPr>
        <w:t>二、线下会场</w:t>
      </w:r>
    </w:p>
    <w:p>
      <w:pPr>
        <w:widowControl/>
        <w:shd w:val="clear" w:color="auto" w:fill="FFFFFF"/>
        <w:spacing w:line="600" w:lineRule="exact"/>
        <w:ind w:firstLine="1120" w:firstLineChars="350"/>
        <w:jc w:val="left"/>
        <w:textAlignment w:val="baseline"/>
        <w:rPr>
          <w:rFonts w:ascii="仿宋_GB2312" w:hAnsi="Times New Roman" w:eastAsia="仿宋_GB2312"/>
          <w:color w:val="333333"/>
          <w:kern w:val="0"/>
          <w:sz w:val="32"/>
          <w:szCs w:val="32"/>
        </w:rPr>
      </w:pPr>
      <w:r>
        <w:rPr>
          <w:rFonts w:hint="eastAsia" w:ascii="仿宋_GB2312" w:hAnsi="Times New Roman" w:eastAsia="仿宋_GB2312"/>
          <w:color w:val="333333"/>
          <w:kern w:val="0"/>
          <w:sz w:val="32"/>
          <w:szCs w:val="32"/>
        </w:rPr>
        <w:t>武汉弘毅大酒店四楼有容堂</w:t>
      </w:r>
    </w:p>
    <w:p>
      <w:pPr>
        <w:spacing w:line="600" w:lineRule="exact"/>
        <w:ind w:firstLine="1120" w:firstLineChars="350"/>
        <w:rPr>
          <w:rFonts w:ascii="楷体_GB2312" w:hAnsi="Times New Roman" w:eastAsia="楷体_GB2312"/>
          <w:sz w:val="32"/>
          <w:szCs w:val="32"/>
        </w:rPr>
      </w:pPr>
      <w:r>
        <w:rPr>
          <w:rFonts w:hint="eastAsia" w:ascii="黑体" w:hAnsi="宋体" w:eastAsia="黑体"/>
          <w:sz w:val="32"/>
          <w:szCs w:val="32"/>
        </w:rPr>
        <w:t>三、举办单位</w:t>
      </w:r>
    </w:p>
    <w:p>
      <w:pPr>
        <w:spacing w:line="600" w:lineRule="exact"/>
        <w:ind w:firstLine="1120" w:firstLineChars="350"/>
        <w:rPr>
          <w:rFonts w:ascii="仿宋_GB2312" w:hAnsi="Times New Roman" w:eastAsia="仿宋_GB2312"/>
          <w:color w:val="333333"/>
          <w:kern w:val="0"/>
          <w:sz w:val="32"/>
          <w:szCs w:val="32"/>
        </w:rPr>
      </w:pPr>
      <w:r>
        <w:rPr>
          <w:rFonts w:hint="eastAsia" w:ascii="仿宋_GB2312" w:hAnsi="仿宋" w:eastAsia="仿宋_GB2312"/>
          <w:sz w:val="32"/>
          <w:szCs w:val="32"/>
        </w:rPr>
        <w:t>湖北省对外科技交流中心</w:t>
      </w:r>
    </w:p>
    <w:p>
      <w:pPr>
        <w:spacing w:line="600" w:lineRule="exact"/>
        <w:ind w:firstLine="1152" w:firstLineChars="360"/>
        <w:rPr>
          <w:rFonts w:ascii="黑体" w:hAnsi="宋体" w:eastAsia="黑体"/>
          <w:sz w:val="32"/>
          <w:szCs w:val="32"/>
        </w:rPr>
      </w:pPr>
      <w:r>
        <w:rPr>
          <w:rFonts w:hint="eastAsia" w:ascii="黑体" w:hAnsi="宋体" w:eastAsia="黑体"/>
          <w:sz w:val="32"/>
          <w:szCs w:val="32"/>
        </w:rPr>
        <w:t>四、活动形式</w:t>
      </w:r>
    </w:p>
    <w:p>
      <w:pPr>
        <w:widowControl/>
        <w:shd w:val="clear" w:color="auto" w:fill="FFFFFF"/>
        <w:spacing w:line="600" w:lineRule="exact"/>
        <w:ind w:left="474" w:leftChars="226" w:firstLine="640" w:firstLineChars="200"/>
        <w:jc w:val="left"/>
        <w:textAlignment w:val="baseline"/>
        <w:rPr>
          <w:rFonts w:ascii="仿宋_GB2312" w:hAnsi="Times New Roman" w:eastAsia="仿宋_GB2312"/>
          <w:color w:val="333333"/>
          <w:kern w:val="0"/>
          <w:sz w:val="32"/>
          <w:szCs w:val="32"/>
        </w:rPr>
      </w:pPr>
      <w:r>
        <w:rPr>
          <w:rFonts w:hint="eastAsia" w:ascii="仿宋_GB2312" w:hAnsi="Times New Roman" w:eastAsia="仿宋_GB2312"/>
          <w:color w:val="333333"/>
          <w:kern w:val="0"/>
          <w:sz w:val="32"/>
          <w:szCs w:val="32"/>
        </w:rPr>
        <w:t>本次活动以视频会议形式开展，在湖北武汉设置中方线下主会场。全程采用中英文同声传译。</w:t>
      </w:r>
    </w:p>
    <w:p>
      <w:pPr>
        <w:spacing w:line="600" w:lineRule="exact"/>
        <w:ind w:firstLine="1152" w:firstLineChars="360"/>
        <w:rPr>
          <w:rFonts w:ascii="黑体" w:hAnsi="宋体" w:eastAsia="黑体"/>
          <w:sz w:val="32"/>
          <w:szCs w:val="32"/>
        </w:rPr>
      </w:pPr>
      <w:r>
        <w:rPr>
          <w:rFonts w:hint="eastAsia" w:ascii="黑体" w:hAnsi="宋体" w:eastAsia="黑体"/>
          <w:sz w:val="32"/>
          <w:szCs w:val="32"/>
        </w:rPr>
        <w:t>五、活动内容</w:t>
      </w:r>
    </w:p>
    <w:p>
      <w:pPr>
        <w:widowControl/>
        <w:shd w:val="clear" w:color="auto" w:fill="FFFFFF"/>
        <w:spacing w:line="600" w:lineRule="exact"/>
        <w:ind w:left="474" w:leftChars="226" w:firstLine="640" w:firstLineChars="200"/>
        <w:jc w:val="left"/>
        <w:textAlignment w:val="baseline"/>
        <w:rPr>
          <w:rFonts w:ascii="仿宋_GB2312" w:hAnsi="Times New Roman" w:eastAsia="仿宋_GB2312"/>
          <w:color w:val="333333"/>
          <w:kern w:val="0"/>
          <w:sz w:val="32"/>
          <w:szCs w:val="32"/>
        </w:rPr>
      </w:pPr>
      <w:r>
        <w:rPr>
          <w:rFonts w:hint="eastAsia" w:ascii="仿宋_GB2312" w:hAnsi="Times New Roman" w:eastAsia="仿宋_GB2312"/>
          <w:color w:val="333333"/>
          <w:kern w:val="0"/>
          <w:sz w:val="32"/>
          <w:szCs w:val="32"/>
        </w:rPr>
        <w:t>中英双方围绕远程监护诊断、早期癌症检测治疗、新型抗菌涂层技术、膝盖关节受损治疗、呼吸系统疾病治疗、失眠和焦虑病症治疗等项目开展线上路演和对接交流，同时英方进行行业技术应用、发展前景趋势、成果转化成功案例方面的专题报告，以此共同推动双边生命科学领域高水平科技创新合作，推动经济社会发展。</w:t>
      </w:r>
    </w:p>
    <w:p>
      <w:pPr>
        <w:spacing w:line="600" w:lineRule="exact"/>
        <w:ind w:firstLine="1152" w:firstLineChars="360"/>
        <w:rPr>
          <w:rFonts w:ascii="黑体" w:hAnsi="宋体" w:eastAsia="黑体"/>
          <w:sz w:val="32"/>
          <w:szCs w:val="32"/>
        </w:rPr>
      </w:pPr>
      <w:r>
        <w:rPr>
          <w:rFonts w:hint="eastAsia" w:ascii="黑体" w:hAnsi="宋体" w:eastAsia="黑体"/>
          <w:sz w:val="32"/>
          <w:szCs w:val="32"/>
        </w:rPr>
        <w:t>六、其他</w:t>
      </w:r>
    </w:p>
    <w:p>
      <w:pPr>
        <w:spacing w:line="600" w:lineRule="exact"/>
        <w:ind w:left="525" w:leftChars="250" w:firstLine="688" w:firstLineChars="215"/>
        <w:rPr>
          <w:rFonts w:ascii="仿宋_GB2312" w:hAnsi="仿宋" w:eastAsia="仿宋_GB2312"/>
          <w:sz w:val="32"/>
          <w:szCs w:val="32"/>
        </w:rPr>
      </w:pPr>
      <w:r>
        <w:rPr>
          <w:rFonts w:hint="eastAsia" w:ascii="仿宋_GB2312" w:hAnsi="仿宋" w:eastAsia="仿宋_GB2312"/>
          <w:sz w:val="32"/>
          <w:szCs w:val="32"/>
        </w:rPr>
        <w:t>本次专场活动不收取任何费用，视频会议登录方式将另行通知。</w:t>
      </w:r>
    </w:p>
    <w:p>
      <w:pPr>
        <w:spacing w:line="600" w:lineRule="exact"/>
        <w:ind w:left="525" w:leftChars="250" w:firstLine="688" w:firstLineChars="215"/>
        <w:rPr>
          <w:rFonts w:ascii="仿宋_GB2312" w:hAnsi="仿宋" w:eastAsia="仿宋_GB2312"/>
          <w:sz w:val="32"/>
          <w:szCs w:val="32"/>
        </w:rPr>
      </w:pPr>
      <w:r>
        <w:rPr>
          <w:rFonts w:hint="eastAsia" w:ascii="仿宋_GB2312" w:hAnsi="仿宋" w:eastAsia="仿宋_GB2312"/>
          <w:sz w:val="32"/>
          <w:szCs w:val="32"/>
        </w:rPr>
        <w:t>联系人：</w:t>
      </w:r>
    </w:p>
    <w:p>
      <w:pPr>
        <w:spacing w:line="600" w:lineRule="exact"/>
        <w:ind w:firstLine="1120" w:firstLineChars="350"/>
        <w:rPr>
          <w:rFonts w:ascii="仿宋_GB2312" w:hAnsi="仿宋" w:eastAsia="仿宋_GB2312"/>
          <w:sz w:val="32"/>
          <w:szCs w:val="32"/>
        </w:rPr>
      </w:pPr>
      <w:r>
        <w:rPr>
          <w:rFonts w:hint="eastAsia" w:ascii="仿宋_GB2312" w:hAnsi="仿宋" w:eastAsia="仿宋_GB2312"/>
          <w:sz w:val="32"/>
          <w:szCs w:val="32"/>
        </w:rPr>
        <w:t>崔巧玲</w:t>
      </w:r>
      <w:r>
        <w:rPr>
          <w:rFonts w:ascii="仿宋_GB2312" w:hAnsi="仿宋" w:eastAsia="仿宋_GB2312"/>
          <w:sz w:val="32"/>
          <w:szCs w:val="32"/>
        </w:rPr>
        <w:t xml:space="preserve">  027-87814925</w:t>
      </w:r>
      <w:r>
        <w:rPr>
          <w:rFonts w:hint="eastAsia" w:ascii="仿宋_GB2312" w:hAnsi="仿宋" w:eastAsia="仿宋_GB2312"/>
          <w:sz w:val="32"/>
          <w:szCs w:val="32"/>
        </w:rPr>
        <w:t>，</w:t>
      </w:r>
      <w:r>
        <w:rPr>
          <w:rFonts w:ascii="仿宋_GB2312" w:hAnsi="仿宋" w:eastAsia="仿宋_GB2312"/>
          <w:sz w:val="32"/>
          <w:szCs w:val="32"/>
        </w:rPr>
        <w:t>13871557512</w:t>
      </w:r>
    </w:p>
    <w:p>
      <w:pPr>
        <w:spacing w:line="600" w:lineRule="exact"/>
        <w:ind w:firstLine="1120" w:firstLineChars="350"/>
        <w:rPr>
          <w:rFonts w:ascii="仿宋_GB2312" w:hAnsi="仿宋" w:eastAsia="仿宋_GB2312"/>
          <w:sz w:val="32"/>
          <w:szCs w:val="32"/>
        </w:rPr>
      </w:pPr>
      <w:r>
        <w:rPr>
          <w:rFonts w:hint="eastAsia" w:ascii="仿宋_GB2312" w:hAnsi="仿宋" w:eastAsia="仿宋_GB2312"/>
          <w:sz w:val="32"/>
          <w:szCs w:val="32"/>
        </w:rPr>
        <w:t>陶</w:t>
      </w:r>
      <w:r>
        <w:rPr>
          <w:rFonts w:ascii="仿宋_GB2312" w:hAnsi="仿宋" w:eastAsia="仿宋_GB2312"/>
          <w:sz w:val="32"/>
          <w:szCs w:val="32"/>
        </w:rPr>
        <w:t xml:space="preserve">  </w:t>
      </w:r>
      <w:r>
        <w:rPr>
          <w:rFonts w:hint="eastAsia" w:ascii="仿宋_GB2312" w:hAnsi="仿宋" w:eastAsia="仿宋_GB2312"/>
          <w:sz w:val="32"/>
          <w:szCs w:val="32"/>
        </w:rPr>
        <w:t>园</w:t>
      </w:r>
      <w:r>
        <w:rPr>
          <w:rFonts w:ascii="仿宋_GB2312" w:hAnsi="仿宋" w:eastAsia="仿宋_GB2312"/>
          <w:sz w:val="32"/>
          <w:szCs w:val="32"/>
        </w:rPr>
        <w:t xml:space="preserve">  027-87125516</w:t>
      </w:r>
      <w:r>
        <w:rPr>
          <w:rFonts w:hint="eastAsia" w:ascii="仿宋_GB2312" w:hAnsi="仿宋" w:eastAsia="仿宋_GB2312"/>
          <w:sz w:val="32"/>
          <w:szCs w:val="32"/>
        </w:rPr>
        <w:t>，</w:t>
      </w:r>
      <w:r>
        <w:rPr>
          <w:rFonts w:ascii="仿宋_GB2312" w:hAnsi="仿宋" w:eastAsia="仿宋_GB2312"/>
          <w:sz w:val="32"/>
          <w:szCs w:val="32"/>
        </w:rPr>
        <w:t>18986063492</w:t>
      </w:r>
    </w:p>
    <w:p>
      <w:pPr>
        <w:spacing w:line="600" w:lineRule="exact"/>
        <w:ind w:firstLine="1152" w:firstLineChars="360"/>
        <w:rPr>
          <w:rFonts w:ascii="仿宋_GB2312" w:hAnsi="Times New Roman" w:eastAsia="仿宋_GB2312"/>
          <w:sz w:val="32"/>
          <w:szCs w:val="32"/>
        </w:rPr>
      </w:pPr>
    </w:p>
    <w:p>
      <w:pPr>
        <w:spacing w:line="600" w:lineRule="exact"/>
        <w:ind w:firstLine="1152" w:firstLineChars="360"/>
        <w:rPr>
          <w:rFonts w:ascii="仿宋_GB2312" w:hAnsi="Times New Roman" w:eastAsia="仿宋_GB2312"/>
          <w:sz w:val="32"/>
          <w:szCs w:val="32"/>
        </w:rPr>
      </w:pPr>
      <w:r>
        <w:rPr>
          <w:rFonts w:hint="eastAsia" w:ascii="仿宋_GB2312" w:hAnsi="Times New Roman" w:eastAsia="仿宋_GB2312"/>
          <w:sz w:val="32"/>
          <w:szCs w:val="32"/>
        </w:rPr>
        <w:t>附件：</w:t>
      </w:r>
      <w:r>
        <w:rPr>
          <w:rFonts w:ascii="仿宋_GB2312" w:hAnsi="Times New Roman" w:eastAsia="仿宋_GB2312"/>
          <w:sz w:val="32"/>
          <w:szCs w:val="32"/>
        </w:rPr>
        <w:t>1.</w:t>
      </w:r>
      <w:r>
        <w:rPr>
          <w:rFonts w:hint="eastAsia" w:ascii="仿宋_GB2312" w:hAnsi="Times New Roman" w:eastAsia="仿宋_GB2312"/>
          <w:sz w:val="32"/>
          <w:szCs w:val="32"/>
        </w:rPr>
        <w:t>会议议程</w:t>
      </w:r>
    </w:p>
    <w:p>
      <w:pPr>
        <w:spacing w:line="600" w:lineRule="exact"/>
        <w:ind w:firstLine="2112" w:firstLineChars="660"/>
        <w:rPr>
          <w:rFonts w:ascii="仿宋_GB2312" w:hAnsi="Times New Roman" w:eastAsia="仿宋_GB2312"/>
          <w:sz w:val="32"/>
          <w:szCs w:val="32"/>
        </w:rPr>
      </w:pPr>
      <w:r>
        <w:rPr>
          <w:rFonts w:ascii="仿宋_GB2312" w:hAnsi="Times New Roman" w:eastAsia="仿宋_GB2312"/>
          <w:sz w:val="32"/>
          <w:szCs w:val="32"/>
        </w:rPr>
        <w:t>2.</w:t>
      </w:r>
      <w:r>
        <w:rPr>
          <w:rFonts w:hint="eastAsia" w:ascii="仿宋_GB2312" w:hAnsi="Times New Roman" w:eastAsia="仿宋_GB2312"/>
          <w:sz w:val="32"/>
          <w:szCs w:val="32"/>
        </w:rPr>
        <w:t>英方推介项目信息</w:t>
      </w:r>
    </w:p>
    <w:p>
      <w:pPr>
        <w:spacing w:line="600" w:lineRule="exact"/>
        <w:ind w:firstLine="2112" w:firstLineChars="660"/>
        <w:rPr>
          <w:rFonts w:ascii="仿宋_GB2312" w:hAnsi="Times New Roman" w:eastAsia="仿宋_GB2312"/>
          <w:sz w:val="32"/>
          <w:szCs w:val="32"/>
        </w:rPr>
      </w:pPr>
      <w:r>
        <w:rPr>
          <w:rFonts w:ascii="仿宋_GB2312" w:hAnsi="Times New Roman" w:eastAsia="仿宋_GB2312"/>
          <w:sz w:val="32"/>
          <w:szCs w:val="32"/>
        </w:rPr>
        <w:t>3.</w:t>
      </w:r>
      <w:r>
        <w:rPr>
          <w:rFonts w:hint="eastAsia" w:ascii="仿宋_GB2312" w:hAnsi="Times New Roman" w:eastAsia="仿宋_GB2312"/>
          <w:sz w:val="32"/>
          <w:szCs w:val="32"/>
        </w:rPr>
        <w:t>活动报名方式</w:t>
      </w:r>
    </w:p>
    <w:p>
      <w:pPr>
        <w:snapToGrid w:val="0"/>
        <w:spacing w:line="600" w:lineRule="exact"/>
        <w:ind w:firstLine="5440" w:firstLineChars="1700"/>
        <w:rPr>
          <w:rFonts w:ascii="仿宋_GB2312" w:hAnsi="Times New Roman" w:eastAsia="仿宋_GB2312"/>
          <w:sz w:val="32"/>
          <w:szCs w:val="32"/>
        </w:rPr>
      </w:pPr>
    </w:p>
    <w:p>
      <w:pPr>
        <w:snapToGrid w:val="0"/>
        <w:spacing w:line="600" w:lineRule="exact"/>
        <w:ind w:firstLine="5440" w:firstLineChars="1700"/>
        <w:rPr>
          <w:rFonts w:ascii="仿宋_GB2312" w:hAnsi="Times New Roman" w:eastAsia="仿宋_GB2312"/>
          <w:sz w:val="32"/>
          <w:szCs w:val="32"/>
        </w:rPr>
      </w:pPr>
    </w:p>
    <w:p>
      <w:pPr>
        <w:snapToGrid w:val="0"/>
        <w:spacing w:line="600" w:lineRule="exact"/>
        <w:jc w:val="center"/>
        <w:rPr>
          <w:rFonts w:ascii="仿宋_GB2312" w:hAnsi="仿宋" w:eastAsia="仿宋_GB2312"/>
          <w:sz w:val="32"/>
          <w:szCs w:val="32"/>
        </w:rPr>
      </w:pPr>
      <w:r>
        <w:rPr>
          <w:rFonts w:ascii="仿宋_GB2312" w:hAnsi="仿宋" w:eastAsia="仿宋_GB2312"/>
          <w:sz w:val="32"/>
          <w:szCs w:val="32"/>
        </w:rPr>
        <w:t xml:space="preserve">                             </w:t>
      </w:r>
      <w:r>
        <w:rPr>
          <w:rFonts w:hint="eastAsia" w:ascii="仿宋_GB2312" w:hAnsi="仿宋" w:eastAsia="仿宋_GB2312"/>
          <w:sz w:val="32"/>
          <w:szCs w:val="32"/>
        </w:rPr>
        <w:t>湖北省对外科技交流中心</w:t>
      </w:r>
    </w:p>
    <w:p>
      <w:pPr>
        <w:snapToGrid w:val="0"/>
        <w:spacing w:line="600" w:lineRule="exact"/>
        <w:jc w:val="center"/>
        <w:rPr>
          <w:rFonts w:ascii="仿宋_GB2312" w:hAnsi="Times New Roman" w:eastAsia="仿宋_GB2312"/>
          <w:sz w:val="32"/>
          <w:szCs w:val="32"/>
        </w:rPr>
      </w:pPr>
      <w:r>
        <w:rPr>
          <w:rFonts w:ascii="仿宋_GB2312" w:hAnsi="仿宋" w:eastAsia="仿宋_GB2312"/>
          <w:sz w:val="32"/>
          <w:szCs w:val="32"/>
        </w:rPr>
        <w:t xml:space="preserve">                             2021</w:t>
      </w:r>
      <w:r>
        <w:rPr>
          <w:rFonts w:hint="eastAsia" w:ascii="仿宋_GB2312" w:hAnsi="仿宋" w:eastAsia="仿宋_GB2312"/>
          <w:sz w:val="32"/>
          <w:szCs w:val="32"/>
        </w:rPr>
        <w:t>年</w:t>
      </w:r>
      <w:r>
        <w:rPr>
          <w:rFonts w:ascii="仿宋_GB2312" w:hAnsi="仿宋" w:eastAsia="仿宋_GB2312"/>
          <w:sz w:val="32"/>
          <w:szCs w:val="32"/>
        </w:rPr>
        <w:t>4</w:t>
      </w:r>
      <w:r>
        <w:rPr>
          <w:rFonts w:hint="eastAsia" w:ascii="仿宋_GB2312" w:hAnsi="仿宋" w:eastAsia="仿宋_GB2312"/>
          <w:sz w:val="32"/>
          <w:szCs w:val="32"/>
        </w:rPr>
        <w:t>月</w:t>
      </w:r>
      <w:r>
        <w:rPr>
          <w:rFonts w:ascii="仿宋_GB2312" w:hAnsi="仿宋" w:eastAsia="仿宋_GB2312"/>
          <w:sz w:val="32"/>
          <w:szCs w:val="32"/>
        </w:rPr>
        <w:t>9</w:t>
      </w:r>
      <w:r>
        <w:rPr>
          <w:rFonts w:hint="eastAsia" w:ascii="仿宋_GB2312" w:hAnsi="仿宋" w:eastAsia="仿宋_GB2312"/>
          <w:sz w:val="32"/>
          <w:szCs w:val="32"/>
        </w:rPr>
        <w:t>日</w:t>
      </w:r>
      <w:r>
        <w:rPr>
          <w:rFonts w:ascii="仿宋_GB2312" w:hAnsi="仿宋" w:eastAsia="仿宋_GB2312"/>
          <w:sz w:val="32"/>
          <w:szCs w:val="32"/>
        </w:rPr>
        <w:t xml:space="preserve">   </w:t>
      </w:r>
      <w:r>
        <w:rPr>
          <w:rFonts w:ascii="仿宋_GB2312" w:hAnsi="Times New Roman" w:eastAsia="仿宋_GB2312"/>
          <w:sz w:val="32"/>
          <w:szCs w:val="32"/>
        </w:rPr>
        <w:t xml:space="preserve">                                                              </w:t>
      </w:r>
    </w:p>
    <w:p>
      <w:pPr>
        <w:spacing w:line="600" w:lineRule="exact"/>
        <w:ind w:left="420" w:leftChars="200"/>
        <w:rPr>
          <w:rFonts w:ascii="黑体" w:hAnsi="黑体" w:eastAsia="黑体"/>
          <w:b/>
          <w:bCs/>
          <w:sz w:val="32"/>
          <w:szCs w:val="32"/>
        </w:rPr>
      </w:pPr>
      <w:r>
        <w:rPr>
          <w:rFonts w:ascii="Times New Roman" w:hAnsi="Times New Roman" w:eastAsia="仿宋"/>
          <w:sz w:val="28"/>
          <w:szCs w:val="28"/>
        </w:rPr>
        <w:br w:type="page"/>
      </w:r>
      <w:r>
        <w:rPr>
          <w:rFonts w:hint="eastAsia" w:ascii="黑体" w:hAnsi="黑体" w:eastAsia="黑体"/>
          <w:sz w:val="32"/>
          <w:szCs w:val="32"/>
        </w:rPr>
        <w:t>附件</w:t>
      </w:r>
      <w:r>
        <w:rPr>
          <w:rFonts w:ascii="黑体" w:hAnsi="黑体" w:eastAsia="黑体"/>
          <w:sz w:val="32"/>
          <w:szCs w:val="32"/>
        </w:rPr>
        <w:t xml:space="preserve">1 </w:t>
      </w:r>
    </w:p>
    <w:p>
      <w:pPr>
        <w:jc w:val="center"/>
        <w:rPr>
          <w:rFonts w:ascii="宋体"/>
          <w:b/>
          <w:bCs/>
          <w:sz w:val="44"/>
          <w:szCs w:val="44"/>
        </w:rPr>
      </w:pPr>
      <w:r>
        <w:rPr>
          <w:rFonts w:hint="eastAsia" w:ascii="宋体" w:hAnsi="宋体"/>
          <w:b/>
          <w:bCs/>
          <w:sz w:val="44"/>
          <w:szCs w:val="44"/>
        </w:rPr>
        <w:t>会议议程</w:t>
      </w:r>
    </w:p>
    <w:tbl>
      <w:tblPr>
        <w:tblStyle w:val="6"/>
        <w:tblpPr w:leftFromText="180" w:rightFromText="180" w:vertAnchor="text" w:horzAnchor="page" w:tblpX="1586" w:tblpY="467"/>
        <w:tblW w:w="906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998"/>
        <w:gridCol w:w="1995"/>
        <w:gridCol w:w="50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998" w:type="dxa"/>
          </w:tcPr>
          <w:p>
            <w:pPr>
              <w:jc w:val="center"/>
              <w:rPr>
                <w:rFonts w:ascii="宋体"/>
                <w:b/>
                <w:sz w:val="32"/>
                <w:szCs w:val="32"/>
              </w:rPr>
            </w:pPr>
            <w:r>
              <w:rPr>
                <w:rFonts w:hint="eastAsia" w:ascii="宋体" w:hAnsi="宋体"/>
                <w:b/>
                <w:sz w:val="32"/>
                <w:szCs w:val="32"/>
              </w:rPr>
              <w:t>北京时间</w:t>
            </w:r>
          </w:p>
        </w:tc>
        <w:tc>
          <w:tcPr>
            <w:tcW w:w="1995" w:type="dxa"/>
          </w:tcPr>
          <w:p>
            <w:pPr>
              <w:jc w:val="center"/>
              <w:rPr>
                <w:rFonts w:ascii="宋体"/>
                <w:b/>
                <w:sz w:val="32"/>
                <w:szCs w:val="32"/>
              </w:rPr>
            </w:pPr>
            <w:r>
              <w:rPr>
                <w:rFonts w:hint="eastAsia" w:ascii="宋体" w:hAnsi="宋体"/>
                <w:b/>
                <w:sz w:val="32"/>
                <w:szCs w:val="32"/>
              </w:rPr>
              <w:t>英国时间</w:t>
            </w:r>
          </w:p>
        </w:tc>
        <w:tc>
          <w:tcPr>
            <w:tcW w:w="5067" w:type="dxa"/>
            <w:vAlign w:val="center"/>
          </w:tcPr>
          <w:p>
            <w:pPr>
              <w:jc w:val="center"/>
              <w:rPr>
                <w:rFonts w:ascii="宋体"/>
                <w:b/>
                <w:sz w:val="32"/>
                <w:szCs w:val="32"/>
              </w:rPr>
            </w:pPr>
            <w:r>
              <w:rPr>
                <w:rFonts w:hint="eastAsia" w:ascii="宋体" w:hAnsi="宋体"/>
                <w:b/>
                <w:sz w:val="32"/>
                <w:szCs w:val="32"/>
              </w:rPr>
              <w:t>活动安排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998" w:type="dxa"/>
            <w:vAlign w:val="center"/>
          </w:tcPr>
          <w:p>
            <w:pPr>
              <w:jc w:val="center"/>
              <w:rPr>
                <w:rFonts w:ascii="仿宋_GB2312" w:hAnsi="仿宋" w:eastAsia="仿宋_GB2312"/>
                <w:sz w:val="32"/>
                <w:szCs w:val="32"/>
              </w:rPr>
            </w:pPr>
            <w:r>
              <w:rPr>
                <w:rFonts w:ascii="仿宋_GB2312" w:hAnsi="仿宋" w:eastAsia="仿宋_GB2312"/>
                <w:sz w:val="32"/>
                <w:szCs w:val="32"/>
              </w:rPr>
              <w:t>15:30-15:35</w:t>
            </w:r>
          </w:p>
        </w:tc>
        <w:tc>
          <w:tcPr>
            <w:tcW w:w="1995" w:type="dxa"/>
            <w:vAlign w:val="center"/>
          </w:tcPr>
          <w:p>
            <w:pPr>
              <w:jc w:val="center"/>
              <w:rPr>
                <w:rFonts w:ascii="仿宋_GB2312" w:hAnsi="仿宋" w:eastAsia="仿宋_GB2312"/>
                <w:sz w:val="32"/>
                <w:szCs w:val="32"/>
              </w:rPr>
            </w:pPr>
            <w:r>
              <w:rPr>
                <w:rFonts w:ascii="仿宋_GB2312" w:hAnsi="仿宋" w:eastAsia="仿宋_GB2312"/>
                <w:sz w:val="32"/>
                <w:szCs w:val="32"/>
              </w:rPr>
              <w:t>08:30-08:35</w:t>
            </w:r>
          </w:p>
        </w:tc>
        <w:tc>
          <w:tcPr>
            <w:tcW w:w="5067" w:type="dxa"/>
          </w:tcPr>
          <w:p>
            <w:pPr>
              <w:jc w:val="left"/>
              <w:rPr>
                <w:rFonts w:ascii="仿宋_GB2312" w:hAnsi="仿宋" w:eastAsia="仿宋_GB2312"/>
                <w:sz w:val="32"/>
                <w:szCs w:val="32"/>
              </w:rPr>
            </w:pPr>
            <w:r>
              <w:rPr>
                <w:rFonts w:hint="eastAsia" w:ascii="仿宋_GB2312" w:hAnsi="仿宋" w:eastAsia="仿宋_GB2312"/>
                <w:sz w:val="32"/>
                <w:szCs w:val="32"/>
              </w:rPr>
              <w:t>主持人开场，介绍参会领导与嘉宾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998" w:type="dxa"/>
          </w:tcPr>
          <w:p>
            <w:pPr>
              <w:rPr>
                <w:rFonts w:ascii="仿宋_GB2312" w:hAnsi="仿宋" w:eastAsia="仿宋_GB2312"/>
                <w:sz w:val="32"/>
                <w:szCs w:val="32"/>
              </w:rPr>
            </w:pPr>
            <w:r>
              <w:rPr>
                <w:rFonts w:ascii="仿宋_GB2312" w:hAnsi="仿宋" w:eastAsia="仿宋_GB2312"/>
                <w:sz w:val="32"/>
                <w:szCs w:val="32"/>
              </w:rPr>
              <w:t>15:35-15:45</w:t>
            </w:r>
          </w:p>
        </w:tc>
        <w:tc>
          <w:tcPr>
            <w:tcW w:w="1995" w:type="dxa"/>
          </w:tcPr>
          <w:p>
            <w:pPr>
              <w:rPr>
                <w:rFonts w:ascii="仿宋_GB2312" w:hAnsi="仿宋" w:eastAsia="仿宋_GB2312"/>
                <w:sz w:val="32"/>
                <w:szCs w:val="32"/>
              </w:rPr>
            </w:pPr>
            <w:r>
              <w:rPr>
                <w:rFonts w:ascii="仿宋_GB2312" w:hAnsi="仿宋" w:eastAsia="仿宋_GB2312"/>
                <w:sz w:val="32"/>
                <w:szCs w:val="32"/>
              </w:rPr>
              <w:t>08:35-08:45</w:t>
            </w:r>
          </w:p>
        </w:tc>
        <w:tc>
          <w:tcPr>
            <w:tcW w:w="5067" w:type="dxa"/>
          </w:tcPr>
          <w:p>
            <w:pPr>
              <w:rPr>
                <w:rFonts w:ascii="仿宋_GB2312" w:hAnsi="仿宋" w:eastAsia="仿宋_GB2312"/>
                <w:sz w:val="32"/>
                <w:szCs w:val="32"/>
              </w:rPr>
            </w:pPr>
            <w:r>
              <w:rPr>
                <w:rFonts w:hint="eastAsia" w:ascii="仿宋_GB2312" w:hAnsi="仿宋" w:eastAsia="仿宋_GB2312"/>
                <w:sz w:val="32"/>
                <w:szCs w:val="32"/>
              </w:rPr>
              <w:t>中英双方领导致辞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998" w:type="dxa"/>
            <w:vAlign w:val="center"/>
          </w:tcPr>
          <w:p>
            <w:pPr>
              <w:rPr>
                <w:rFonts w:ascii="仿宋_GB2312" w:hAnsi="仿宋" w:eastAsia="仿宋_GB2312"/>
                <w:sz w:val="32"/>
                <w:szCs w:val="32"/>
              </w:rPr>
            </w:pPr>
            <w:r>
              <w:rPr>
                <w:rFonts w:ascii="仿宋_GB2312" w:hAnsi="仿宋" w:eastAsia="仿宋_GB2312"/>
                <w:sz w:val="32"/>
                <w:szCs w:val="32"/>
              </w:rPr>
              <w:t>15:45-16:30</w:t>
            </w:r>
          </w:p>
        </w:tc>
        <w:tc>
          <w:tcPr>
            <w:tcW w:w="1995" w:type="dxa"/>
            <w:vAlign w:val="center"/>
          </w:tcPr>
          <w:p>
            <w:pPr>
              <w:jc w:val="center"/>
              <w:rPr>
                <w:rFonts w:ascii="仿宋_GB2312" w:hAnsi="仿宋" w:eastAsia="仿宋_GB2312"/>
                <w:sz w:val="32"/>
                <w:szCs w:val="32"/>
              </w:rPr>
            </w:pPr>
            <w:r>
              <w:rPr>
                <w:rFonts w:ascii="仿宋_GB2312" w:hAnsi="仿宋" w:eastAsia="仿宋_GB2312"/>
                <w:sz w:val="32"/>
                <w:szCs w:val="32"/>
              </w:rPr>
              <w:t>08:45-09:30</w:t>
            </w:r>
          </w:p>
        </w:tc>
        <w:tc>
          <w:tcPr>
            <w:tcW w:w="5067" w:type="dxa"/>
          </w:tcPr>
          <w:p>
            <w:pPr>
              <w:rPr>
                <w:rFonts w:ascii="仿宋_GB2312" w:hAnsi="仿宋" w:eastAsia="仿宋_GB2312"/>
                <w:sz w:val="32"/>
                <w:szCs w:val="32"/>
              </w:rPr>
            </w:pPr>
            <w:r>
              <w:rPr>
                <w:rFonts w:hint="eastAsia" w:ascii="仿宋_GB2312" w:hAnsi="仿宋" w:eastAsia="仿宋_GB2312"/>
                <w:sz w:val="32"/>
                <w:szCs w:val="32"/>
              </w:rPr>
              <w:t>专题报告与交流互动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998" w:type="dxa"/>
            <w:vAlign w:val="center"/>
          </w:tcPr>
          <w:p>
            <w:pPr>
              <w:rPr>
                <w:rFonts w:ascii="仿宋_GB2312" w:hAnsi="仿宋" w:eastAsia="仿宋_GB2312"/>
                <w:sz w:val="32"/>
                <w:szCs w:val="32"/>
              </w:rPr>
            </w:pPr>
            <w:r>
              <w:rPr>
                <w:rFonts w:ascii="仿宋_GB2312" w:hAnsi="仿宋" w:eastAsia="仿宋_GB2312"/>
                <w:sz w:val="32"/>
                <w:szCs w:val="32"/>
              </w:rPr>
              <w:t>16:30-18:45</w:t>
            </w:r>
          </w:p>
        </w:tc>
        <w:tc>
          <w:tcPr>
            <w:tcW w:w="1995" w:type="dxa"/>
            <w:vAlign w:val="center"/>
          </w:tcPr>
          <w:p>
            <w:pPr>
              <w:jc w:val="center"/>
              <w:rPr>
                <w:rFonts w:ascii="仿宋_GB2312" w:hAnsi="仿宋" w:eastAsia="仿宋_GB2312"/>
                <w:sz w:val="32"/>
                <w:szCs w:val="32"/>
              </w:rPr>
            </w:pPr>
            <w:r>
              <w:rPr>
                <w:rFonts w:ascii="仿宋_GB2312" w:hAnsi="仿宋" w:eastAsia="仿宋_GB2312"/>
                <w:sz w:val="32"/>
                <w:szCs w:val="32"/>
              </w:rPr>
              <w:t>09:30-11:45</w:t>
            </w:r>
          </w:p>
        </w:tc>
        <w:tc>
          <w:tcPr>
            <w:tcW w:w="5067" w:type="dxa"/>
          </w:tcPr>
          <w:p>
            <w:pPr>
              <w:rPr>
                <w:rFonts w:ascii="仿宋_GB2312" w:hAnsi="仿宋" w:eastAsia="仿宋_GB2312"/>
                <w:sz w:val="32"/>
                <w:szCs w:val="32"/>
              </w:rPr>
            </w:pPr>
            <w:r>
              <w:rPr>
                <w:rFonts w:hint="eastAsia" w:ascii="仿宋_GB2312" w:hAnsi="仿宋" w:eastAsia="仿宋_GB2312"/>
                <w:sz w:val="32"/>
                <w:szCs w:val="32"/>
              </w:rPr>
              <w:t>项目路演与技术对接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998" w:type="dxa"/>
          </w:tcPr>
          <w:p>
            <w:pPr>
              <w:rPr>
                <w:rFonts w:ascii="仿宋_GB2312" w:hAnsi="仿宋" w:eastAsia="仿宋_GB2312"/>
                <w:sz w:val="32"/>
                <w:szCs w:val="32"/>
              </w:rPr>
            </w:pPr>
            <w:r>
              <w:rPr>
                <w:rFonts w:ascii="仿宋_GB2312" w:hAnsi="仿宋" w:eastAsia="仿宋_GB2312"/>
                <w:sz w:val="32"/>
                <w:szCs w:val="32"/>
              </w:rPr>
              <w:t>18:45-18:50</w:t>
            </w:r>
          </w:p>
        </w:tc>
        <w:tc>
          <w:tcPr>
            <w:tcW w:w="1995" w:type="dxa"/>
          </w:tcPr>
          <w:p>
            <w:pPr>
              <w:rPr>
                <w:rFonts w:ascii="仿宋_GB2312" w:hAnsi="仿宋" w:eastAsia="仿宋_GB2312"/>
                <w:sz w:val="32"/>
                <w:szCs w:val="32"/>
              </w:rPr>
            </w:pPr>
            <w:r>
              <w:rPr>
                <w:rFonts w:ascii="仿宋_GB2312" w:hAnsi="仿宋" w:eastAsia="仿宋_GB2312"/>
                <w:sz w:val="32"/>
                <w:szCs w:val="32"/>
              </w:rPr>
              <w:t>11:45-11:50</w:t>
            </w:r>
          </w:p>
        </w:tc>
        <w:tc>
          <w:tcPr>
            <w:tcW w:w="5067" w:type="dxa"/>
          </w:tcPr>
          <w:p>
            <w:pPr>
              <w:rPr>
                <w:rFonts w:ascii="仿宋_GB2312" w:hAnsi="仿宋" w:eastAsia="仿宋_GB2312"/>
                <w:sz w:val="32"/>
                <w:szCs w:val="32"/>
              </w:rPr>
            </w:pPr>
            <w:r>
              <w:rPr>
                <w:rFonts w:hint="eastAsia" w:ascii="仿宋_GB2312" w:hAnsi="仿宋" w:eastAsia="仿宋_GB2312"/>
                <w:sz w:val="32"/>
                <w:szCs w:val="32"/>
              </w:rPr>
              <w:t>主持人总结，并宣布会议结束</w:t>
            </w:r>
          </w:p>
        </w:tc>
      </w:tr>
    </w:tbl>
    <w:p>
      <w:pPr>
        <w:snapToGrid w:val="0"/>
        <w:spacing w:line="500" w:lineRule="exact"/>
        <w:ind w:right="1120"/>
        <w:rPr>
          <w:rFonts w:ascii="Times New Roman" w:hAnsi="Times New Roman" w:eastAsia="仿宋"/>
          <w:sz w:val="28"/>
          <w:szCs w:val="28"/>
        </w:rPr>
      </w:pPr>
    </w:p>
    <w:p>
      <w:pPr>
        <w:widowControl/>
        <w:jc w:val="left"/>
        <w:rPr>
          <w:rFonts w:ascii="Times New Roman" w:hAnsi="Times New Roman" w:eastAsia="仿宋"/>
          <w:sz w:val="28"/>
          <w:szCs w:val="28"/>
        </w:rPr>
        <w:sectPr>
          <w:pgSz w:w="11906" w:h="16838"/>
          <w:pgMar w:top="1383" w:right="1531" w:bottom="1383" w:left="1470" w:header="851" w:footer="992" w:gutter="0"/>
          <w:cols w:space="0" w:num="1"/>
          <w:docGrid w:type="linesAndChars" w:linePitch="312" w:charSpace="0"/>
        </w:sectPr>
      </w:pPr>
    </w:p>
    <w:p>
      <w:pPr>
        <w:widowControl/>
        <w:jc w:val="left"/>
        <w:rPr>
          <w:rFonts w:ascii="黑体" w:hAnsi="黑体" w:eastAsia="黑体"/>
          <w:sz w:val="32"/>
          <w:szCs w:val="32"/>
        </w:rPr>
      </w:pPr>
      <w:r>
        <w:rPr>
          <w:rFonts w:hint="eastAsia" w:ascii="黑体" w:hAnsi="黑体" w:eastAsia="黑体"/>
          <w:sz w:val="32"/>
          <w:szCs w:val="32"/>
        </w:rPr>
        <w:t>附件</w:t>
      </w:r>
      <w:r>
        <w:rPr>
          <w:rFonts w:ascii="黑体" w:hAnsi="黑体" w:eastAsia="黑体"/>
          <w:sz w:val="32"/>
          <w:szCs w:val="32"/>
        </w:rPr>
        <w:t xml:space="preserve">2              </w:t>
      </w:r>
    </w:p>
    <w:p>
      <w:pPr>
        <w:jc w:val="center"/>
        <w:rPr>
          <w:rFonts w:ascii="宋体"/>
          <w:b/>
          <w:bCs/>
          <w:sz w:val="44"/>
          <w:szCs w:val="44"/>
        </w:rPr>
      </w:pPr>
      <w:r>
        <w:rPr>
          <w:rFonts w:hint="eastAsia" w:ascii="宋体" w:hAnsi="宋体"/>
          <w:b/>
          <w:bCs/>
          <w:sz w:val="44"/>
          <w:szCs w:val="44"/>
        </w:rPr>
        <w:t>英方推介项目信息</w:t>
      </w:r>
    </w:p>
    <w:p>
      <w:pPr>
        <w:widowControl/>
        <w:spacing w:line="440" w:lineRule="exact"/>
        <w:jc w:val="center"/>
        <w:rPr>
          <w:rFonts w:ascii="宋体"/>
          <w:b/>
          <w:bCs/>
          <w:sz w:val="44"/>
          <w:szCs w:val="44"/>
        </w:rPr>
      </w:pPr>
    </w:p>
    <w:tbl>
      <w:tblPr>
        <w:tblStyle w:val="6"/>
        <w:tblW w:w="149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1496"/>
        <w:gridCol w:w="8641"/>
        <w:gridCol w:w="2749"/>
        <w:gridCol w:w="1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3" w:type="dxa"/>
          </w:tcPr>
          <w:p>
            <w:pPr>
              <w:widowControl/>
              <w:jc w:val="center"/>
              <w:rPr>
                <w:rFonts w:ascii="仿宋_GB2312" w:hAnsi="仿宋" w:eastAsia="仿宋_GB2312" w:cs="宋体"/>
                <w:b/>
                <w:bCs/>
                <w:color w:val="000000"/>
                <w:kern w:val="0"/>
                <w:sz w:val="28"/>
                <w:szCs w:val="28"/>
              </w:rPr>
            </w:pPr>
            <w:r>
              <w:rPr>
                <w:rFonts w:hint="eastAsia" w:ascii="仿宋_GB2312" w:hAnsi="仿宋" w:eastAsia="仿宋_GB2312" w:cs="宋体"/>
                <w:b/>
                <w:bCs/>
                <w:color w:val="000000"/>
                <w:kern w:val="0"/>
                <w:sz w:val="28"/>
                <w:szCs w:val="28"/>
              </w:rPr>
              <w:t>序号</w:t>
            </w:r>
          </w:p>
        </w:tc>
        <w:tc>
          <w:tcPr>
            <w:tcW w:w="1496" w:type="dxa"/>
            <w:vAlign w:val="center"/>
          </w:tcPr>
          <w:p>
            <w:pPr>
              <w:widowControl/>
              <w:jc w:val="center"/>
              <w:rPr>
                <w:rFonts w:ascii="仿宋_GB2312" w:hAnsi="仿宋" w:eastAsia="仿宋_GB2312" w:cs="宋体"/>
                <w:b/>
                <w:bCs/>
                <w:color w:val="000000"/>
                <w:kern w:val="0"/>
                <w:sz w:val="28"/>
                <w:szCs w:val="28"/>
              </w:rPr>
            </w:pPr>
            <w:r>
              <w:rPr>
                <w:rFonts w:hint="eastAsia" w:ascii="仿宋_GB2312" w:hAnsi="仿宋" w:eastAsia="仿宋_GB2312" w:cs="宋体"/>
                <w:b/>
                <w:bCs/>
                <w:color w:val="000000"/>
                <w:kern w:val="0"/>
                <w:sz w:val="28"/>
                <w:szCs w:val="28"/>
              </w:rPr>
              <w:t>公司</w:t>
            </w:r>
          </w:p>
        </w:tc>
        <w:tc>
          <w:tcPr>
            <w:tcW w:w="8641" w:type="dxa"/>
            <w:vAlign w:val="center"/>
          </w:tcPr>
          <w:p>
            <w:pPr>
              <w:widowControl/>
              <w:jc w:val="center"/>
              <w:rPr>
                <w:rFonts w:ascii="仿宋_GB2312" w:hAnsi="仿宋" w:eastAsia="仿宋_GB2312" w:cs="宋体"/>
                <w:b/>
                <w:bCs/>
                <w:color w:val="000000"/>
                <w:kern w:val="0"/>
                <w:sz w:val="28"/>
                <w:szCs w:val="28"/>
              </w:rPr>
            </w:pPr>
            <w:r>
              <w:rPr>
                <w:rFonts w:hint="eastAsia" w:ascii="仿宋_GB2312" w:hAnsi="仿宋" w:eastAsia="仿宋_GB2312" w:cs="宋体"/>
                <w:b/>
                <w:bCs/>
                <w:color w:val="000000"/>
                <w:kern w:val="0"/>
                <w:sz w:val="28"/>
                <w:szCs w:val="28"/>
              </w:rPr>
              <w:t>项目说明</w:t>
            </w:r>
          </w:p>
        </w:tc>
        <w:tc>
          <w:tcPr>
            <w:tcW w:w="2749" w:type="dxa"/>
            <w:vAlign w:val="center"/>
          </w:tcPr>
          <w:p>
            <w:pPr>
              <w:widowControl/>
              <w:jc w:val="center"/>
              <w:rPr>
                <w:rFonts w:ascii="仿宋_GB2312" w:hAnsi="仿宋" w:eastAsia="仿宋_GB2312" w:cs="宋体"/>
                <w:b/>
                <w:bCs/>
                <w:color w:val="000000"/>
                <w:kern w:val="0"/>
                <w:sz w:val="28"/>
                <w:szCs w:val="28"/>
              </w:rPr>
            </w:pPr>
            <w:r>
              <w:rPr>
                <w:rFonts w:hint="eastAsia" w:ascii="仿宋_GB2312" w:hAnsi="仿宋" w:eastAsia="仿宋_GB2312" w:cs="宋体"/>
                <w:b/>
                <w:bCs/>
                <w:color w:val="000000"/>
                <w:kern w:val="0"/>
                <w:sz w:val="28"/>
                <w:szCs w:val="28"/>
              </w:rPr>
              <w:t>合作方式</w:t>
            </w:r>
          </w:p>
        </w:tc>
        <w:tc>
          <w:tcPr>
            <w:tcW w:w="1236" w:type="dxa"/>
            <w:vAlign w:val="center"/>
          </w:tcPr>
          <w:p>
            <w:pPr>
              <w:widowControl/>
              <w:jc w:val="center"/>
              <w:rPr>
                <w:rFonts w:ascii="仿宋_GB2312" w:hAnsi="仿宋" w:eastAsia="仿宋_GB2312" w:cs="宋体"/>
                <w:b/>
                <w:bCs/>
                <w:color w:val="000000"/>
                <w:kern w:val="0"/>
                <w:sz w:val="28"/>
                <w:szCs w:val="28"/>
              </w:rPr>
            </w:pPr>
            <w:r>
              <w:rPr>
                <w:rFonts w:hint="eastAsia" w:ascii="仿宋_GB2312" w:hAnsi="仿宋" w:eastAsia="仿宋_GB2312" w:cs="宋体"/>
                <w:b/>
                <w:bCs/>
                <w:color w:val="000000"/>
                <w:kern w:val="0"/>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53" w:type="dxa"/>
            <w:vAlign w:val="center"/>
          </w:tcPr>
          <w:p>
            <w:pPr>
              <w:widowControl/>
              <w:jc w:val="center"/>
              <w:rPr>
                <w:rFonts w:ascii="仿宋_GB2312" w:hAnsi="Bell MT" w:eastAsia="仿宋_GB2312"/>
                <w:b/>
                <w:bCs/>
                <w:color w:val="000000"/>
                <w:sz w:val="24"/>
              </w:rPr>
            </w:pPr>
            <w:r>
              <w:rPr>
                <w:rFonts w:ascii="仿宋_GB2312" w:hAnsi="Bell MT" w:eastAsia="仿宋_GB2312"/>
                <w:b/>
                <w:bCs/>
                <w:color w:val="000000"/>
                <w:sz w:val="24"/>
              </w:rPr>
              <w:t>1</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ascii="仿宋_GB2312" w:hAnsi="Bell MT" w:eastAsia="仿宋_GB2312"/>
                <w:b/>
                <w:bCs/>
                <w:color w:val="00000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牛津脑血管支架</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Oxford Endovascular</w:t>
            </w:r>
            <w:r>
              <w:rPr>
                <w:rFonts w:hint="eastAsia" w:ascii="仿宋_GB2312" w:hAnsi="仿宋" w:eastAsia="仿宋_GB2312" w:cs="宋体"/>
                <w:color w:val="000000"/>
                <w:kern w:val="0"/>
                <w:szCs w:val="21"/>
              </w:rPr>
              <w:t>是一间牛津大学衍生公司，该公司致力于为脑血管疾病研发微创型医疗器材，新一代治疗脑动脉瘤支架。其对</w:t>
            </w:r>
            <w:r>
              <w:rPr>
                <w:rFonts w:ascii="仿宋_GB2312" w:hAnsi="仿宋" w:eastAsia="仿宋_GB2312" w:cs="宋体"/>
                <w:color w:val="000000"/>
                <w:kern w:val="0"/>
                <w:szCs w:val="21"/>
              </w:rPr>
              <w:t>Oxiflow</w:t>
            </w:r>
            <w:r>
              <w:rPr>
                <w:rFonts w:hint="eastAsia" w:ascii="仿宋_GB2312" w:hAnsi="仿宋" w:eastAsia="仿宋_GB2312" w:cs="宋体"/>
                <w:color w:val="000000"/>
                <w:kern w:val="0"/>
                <w:szCs w:val="21"/>
              </w:rPr>
              <w:t>的商业化非常有信心，预测产品将在</w:t>
            </w:r>
            <w:r>
              <w:rPr>
                <w:rFonts w:ascii="仿宋_GB2312" w:hAnsi="仿宋" w:eastAsia="仿宋_GB2312" w:cs="宋体"/>
                <w:color w:val="000000"/>
                <w:kern w:val="0"/>
                <w:szCs w:val="21"/>
              </w:rPr>
              <w:t>2018</w:t>
            </w:r>
            <w:r>
              <w:rPr>
                <w:rFonts w:hint="eastAsia" w:ascii="仿宋_GB2312" w:hAnsi="仿宋" w:eastAsia="仿宋_GB2312" w:cs="宋体"/>
                <w:color w:val="000000"/>
                <w:kern w:val="0"/>
                <w:szCs w:val="21"/>
              </w:rPr>
              <w:t>年开始临床试验，</w:t>
            </w:r>
            <w:r>
              <w:rPr>
                <w:rFonts w:ascii="仿宋_GB2312" w:hAnsi="仿宋" w:eastAsia="仿宋_GB2312" w:cs="宋体"/>
                <w:color w:val="000000"/>
                <w:kern w:val="0"/>
                <w:szCs w:val="21"/>
              </w:rPr>
              <w:t>2020</w:t>
            </w:r>
            <w:r>
              <w:rPr>
                <w:rFonts w:hint="eastAsia" w:ascii="仿宋_GB2312" w:hAnsi="仿宋" w:eastAsia="仿宋_GB2312" w:cs="宋体"/>
                <w:color w:val="000000"/>
                <w:kern w:val="0"/>
                <w:szCs w:val="21"/>
              </w:rPr>
              <w:t>年取得</w:t>
            </w:r>
            <w:r>
              <w:rPr>
                <w:rFonts w:ascii="仿宋_GB2312" w:hAnsi="仿宋" w:eastAsia="仿宋_GB2312" w:cs="宋体"/>
                <w:color w:val="000000"/>
                <w:kern w:val="0"/>
                <w:szCs w:val="21"/>
              </w:rPr>
              <w:t>CE</w:t>
            </w:r>
            <w:r>
              <w:rPr>
                <w:rFonts w:hint="eastAsia" w:ascii="仿宋_GB2312" w:hAnsi="仿宋" w:eastAsia="仿宋_GB2312" w:cs="宋体"/>
                <w:color w:val="000000"/>
                <w:kern w:val="0"/>
                <w:szCs w:val="21"/>
              </w:rPr>
              <w:t>认证。</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53" w:type="dxa"/>
            <w:vAlign w:val="center"/>
          </w:tcPr>
          <w:p>
            <w:pPr>
              <w:jc w:val="center"/>
              <w:rPr>
                <w:rFonts w:ascii="仿宋_GB2312" w:hAnsi="Bell MT" w:eastAsia="仿宋_GB2312"/>
                <w:b/>
                <w:bCs/>
                <w:color w:val="000000"/>
                <w:sz w:val="24"/>
              </w:rPr>
            </w:pPr>
            <w:r>
              <w:rPr>
                <w:rFonts w:ascii="仿宋_GB2312" w:hAnsi="Bell MT" w:eastAsia="仿宋_GB2312"/>
                <w:b/>
                <w:bCs/>
                <w:color w:val="000000"/>
                <w:sz w:val="24"/>
              </w:rPr>
              <w:t>2</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jc w:val="center"/>
              <w:rPr>
                <w:rFonts w:ascii="仿宋_GB2312" w:hAnsi="Bell MT" w:eastAsia="仿宋_GB2312"/>
                <w:b/>
                <w:bCs/>
                <w:color w:val="00000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膝盖关节受损治疗技术</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Orthox</w:t>
            </w:r>
            <w:r>
              <w:rPr>
                <w:rFonts w:hint="eastAsia" w:ascii="仿宋_GB2312" w:hAnsi="仿宋" w:eastAsia="仿宋_GB2312" w:cs="宋体"/>
                <w:color w:val="000000"/>
                <w:kern w:val="0"/>
                <w:szCs w:val="21"/>
              </w:rPr>
              <w:t>是一家牛津大学医疗器械公司，由科学家</w:t>
            </w:r>
            <w:r>
              <w:rPr>
                <w:rFonts w:ascii="仿宋_GB2312" w:hAnsi="仿宋" w:eastAsia="仿宋_GB2312" w:cs="宋体"/>
                <w:color w:val="000000"/>
                <w:kern w:val="0"/>
                <w:szCs w:val="21"/>
              </w:rPr>
              <w:t>Dr Nick Skaer</w:t>
            </w:r>
            <w:r>
              <w:rPr>
                <w:rFonts w:hint="eastAsia" w:ascii="仿宋_GB2312" w:hAnsi="仿宋" w:eastAsia="仿宋_GB2312" w:cs="宋体"/>
                <w:color w:val="000000"/>
                <w:kern w:val="0"/>
                <w:szCs w:val="21"/>
              </w:rPr>
              <w:t>和外科医生</w:t>
            </w:r>
            <w:r>
              <w:rPr>
                <w:rFonts w:ascii="仿宋_GB2312" w:hAnsi="仿宋" w:eastAsia="仿宋_GB2312" w:cs="宋体"/>
                <w:color w:val="000000"/>
                <w:kern w:val="0"/>
                <w:szCs w:val="21"/>
              </w:rPr>
              <w:t>Prof Oliver Kessler</w:t>
            </w:r>
            <w:r>
              <w:rPr>
                <w:rFonts w:hint="eastAsia" w:ascii="仿宋_GB2312" w:hAnsi="仿宋" w:eastAsia="仿宋_GB2312" w:cs="宋体"/>
                <w:color w:val="000000"/>
                <w:kern w:val="0"/>
                <w:szCs w:val="21"/>
              </w:rPr>
              <w:t>创立，开发了</w:t>
            </w:r>
            <w:r>
              <w:rPr>
                <w:rFonts w:ascii="仿宋_GB2312" w:hAnsi="仿宋" w:eastAsia="仿宋_GB2312" w:cs="宋体"/>
                <w:color w:val="000000"/>
                <w:kern w:val="0"/>
                <w:szCs w:val="21"/>
              </w:rPr>
              <w:t>FibroFix</w:t>
            </w:r>
            <w:r>
              <w:rPr>
                <w:rFonts w:hint="eastAsia" w:ascii="仿宋_GB2312" w:hAnsi="仿宋" w:eastAsia="仿宋_GB2312" w:cs="宋体"/>
                <w:color w:val="000000"/>
                <w:kern w:val="0"/>
                <w:szCs w:val="21"/>
              </w:rPr>
              <w:t>品牌即一种修复受伤软骨和骨骼的新型生物材料平台。</w:t>
            </w:r>
            <w:r>
              <w:rPr>
                <w:rFonts w:ascii="仿宋_GB2312" w:hAnsi="仿宋" w:eastAsia="仿宋_GB2312" w:cs="宋体"/>
                <w:color w:val="000000"/>
                <w:kern w:val="0"/>
                <w:szCs w:val="21"/>
              </w:rPr>
              <w:t>FibroFix</w:t>
            </w:r>
            <w:r>
              <w:rPr>
                <w:rFonts w:hint="eastAsia" w:ascii="仿宋_GB2312" w:hAnsi="仿宋" w:eastAsia="仿宋_GB2312" w:cs="宋体"/>
                <w:color w:val="000000"/>
                <w:kern w:val="0"/>
                <w:szCs w:val="21"/>
              </w:rPr>
              <w:t>完全是由</w:t>
            </w:r>
            <w:r>
              <w:rPr>
                <w:rFonts w:ascii="仿宋_GB2312" w:hAnsi="仿宋" w:eastAsia="仿宋_GB2312" w:cs="宋体"/>
                <w:color w:val="000000"/>
                <w:kern w:val="0"/>
                <w:szCs w:val="21"/>
              </w:rPr>
              <w:t>Orthox</w:t>
            </w:r>
            <w:r>
              <w:rPr>
                <w:rFonts w:hint="eastAsia" w:ascii="仿宋_GB2312" w:hAnsi="仿宋" w:eastAsia="仿宋_GB2312" w:cs="宋体"/>
                <w:color w:val="000000"/>
                <w:kern w:val="0"/>
                <w:szCs w:val="21"/>
              </w:rPr>
              <w:t>利用其专利技术从丝素蛋白纤维中提取的一种蛋白质</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蚕丝蛋白组成。</w:t>
            </w:r>
            <w:r>
              <w:rPr>
                <w:rFonts w:ascii="仿宋_GB2312" w:hAnsi="仿宋" w:eastAsia="仿宋_GB2312" w:cs="宋体"/>
                <w:color w:val="000000"/>
                <w:kern w:val="0"/>
                <w:szCs w:val="21"/>
              </w:rPr>
              <w:t>FibroFix</w:t>
            </w:r>
            <w:r>
              <w:rPr>
                <w:rFonts w:hint="eastAsia" w:ascii="仿宋_GB2312" w:hAnsi="宋体" w:cs="宋体"/>
                <w:color w:val="000000"/>
                <w:kern w:val="0"/>
                <w:szCs w:val="21"/>
              </w:rPr>
              <w:t>™</w:t>
            </w:r>
            <w:r>
              <w:rPr>
                <w:rFonts w:hint="eastAsia" w:ascii="仿宋_GB2312" w:hAnsi="仿宋" w:eastAsia="仿宋_GB2312" w:cs="宋体"/>
                <w:color w:val="000000"/>
                <w:kern w:val="0"/>
                <w:szCs w:val="21"/>
              </w:rPr>
              <w:t>通过一种多孔渗透建筑结构把外力和丝的弹力相结合同时化学结构和纤化蛋白</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一种人类软骨主要的组成部分相似，是独一无二的，这些专利使得</w:t>
            </w:r>
            <w:r>
              <w:rPr>
                <w:rFonts w:ascii="仿宋_GB2312" w:hAnsi="仿宋" w:eastAsia="仿宋_GB2312" w:cs="宋体"/>
                <w:color w:val="000000"/>
                <w:kern w:val="0"/>
                <w:szCs w:val="21"/>
              </w:rPr>
              <w:t>FibroFix</w:t>
            </w:r>
            <w:r>
              <w:rPr>
                <w:rFonts w:hint="eastAsia" w:ascii="仿宋_GB2312" w:hAnsi="宋体" w:cs="宋体"/>
                <w:color w:val="000000"/>
                <w:kern w:val="0"/>
                <w:szCs w:val="21"/>
              </w:rPr>
              <w:t>™</w:t>
            </w:r>
            <w:r>
              <w:rPr>
                <w:rFonts w:hint="eastAsia" w:ascii="仿宋_GB2312" w:hAnsi="仿宋" w:eastAsia="仿宋_GB2312" w:cs="宋体"/>
                <w:color w:val="000000"/>
                <w:kern w:val="0"/>
                <w:szCs w:val="21"/>
              </w:rPr>
              <w:t>担当了一个受损软骨直接功能替代品和一个长期再生修复解决方案的角色。这样的组合提供了解决目前利用传统钢和塑料人工关节替代品治疗骨关节炎关节的主要缺陷的潜能。主导产品</w:t>
            </w:r>
            <w:r>
              <w:rPr>
                <w:rFonts w:ascii="仿宋_GB2312" w:hAnsi="仿宋" w:eastAsia="仿宋_GB2312" w:cs="宋体"/>
                <w:color w:val="000000"/>
                <w:kern w:val="0"/>
                <w:szCs w:val="21"/>
              </w:rPr>
              <w:t>FibroFix</w:t>
            </w:r>
            <w:r>
              <w:rPr>
                <w:rFonts w:hint="eastAsia" w:ascii="仿宋_GB2312" w:hAnsi="宋体" w:cs="宋体"/>
                <w:color w:val="000000"/>
                <w:kern w:val="0"/>
                <w:szCs w:val="21"/>
              </w:rPr>
              <w:t>™</w:t>
            </w:r>
            <w:r>
              <w:rPr>
                <w:rFonts w:hint="eastAsia" w:ascii="仿宋_GB2312" w:hAnsi="仿宋" w:eastAsia="仿宋_GB2312" w:cs="宋体"/>
                <w:color w:val="000000"/>
                <w:kern w:val="0"/>
                <w:szCs w:val="21"/>
              </w:rPr>
              <w:t>软骨和</w:t>
            </w:r>
            <w:r>
              <w:rPr>
                <w:rFonts w:ascii="仿宋_GB2312" w:hAnsi="仿宋" w:eastAsia="仿宋_GB2312" w:cs="宋体"/>
                <w:color w:val="000000"/>
                <w:kern w:val="0"/>
                <w:szCs w:val="21"/>
              </w:rPr>
              <w:t>FibroFix</w:t>
            </w:r>
            <w:r>
              <w:rPr>
                <w:rFonts w:hint="eastAsia" w:ascii="仿宋_GB2312" w:hAnsi="宋体" w:cs="宋体"/>
                <w:color w:val="000000"/>
                <w:kern w:val="0"/>
                <w:szCs w:val="21"/>
              </w:rPr>
              <w:t>™</w:t>
            </w:r>
            <w:r>
              <w:rPr>
                <w:rFonts w:hint="eastAsia" w:ascii="仿宋_GB2312" w:hAnsi="仿宋" w:eastAsia="仿宋_GB2312" w:cs="宋体"/>
                <w:color w:val="000000"/>
                <w:kern w:val="0"/>
                <w:szCs w:val="21"/>
              </w:rPr>
              <w:t>半月板已经广泛地在大型动物研究中被验证，计划在</w:t>
            </w:r>
            <w:r>
              <w:rPr>
                <w:rFonts w:ascii="仿宋_GB2312" w:hAnsi="仿宋" w:eastAsia="仿宋_GB2312" w:cs="宋体"/>
                <w:color w:val="000000"/>
                <w:kern w:val="0"/>
                <w:szCs w:val="21"/>
              </w:rPr>
              <w:t>2018~19</w:t>
            </w:r>
            <w:r>
              <w:rPr>
                <w:rFonts w:hint="eastAsia" w:ascii="仿宋_GB2312" w:hAnsi="仿宋" w:eastAsia="仿宋_GB2312" w:cs="宋体"/>
                <w:color w:val="000000"/>
                <w:kern w:val="0"/>
                <w:szCs w:val="21"/>
              </w:rPr>
              <w:t>年进入临床试验阶段。他们使用骨抽出微创手术技术使得病人快速复原成为可能，并有取得更好地长期效果潜力。公司已经获得</w:t>
            </w:r>
            <w:r>
              <w:rPr>
                <w:rFonts w:ascii="仿宋_GB2312" w:hAnsi="仿宋" w:eastAsia="仿宋_GB2312" w:cs="宋体"/>
                <w:color w:val="000000"/>
                <w:kern w:val="0"/>
                <w:szCs w:val="21"/>
              </w:rPr>
              <w:t>A</w:t>
            </w:r>
            <w:r>
              <w:rPr>
                <w:rFonts w:hint="eastAsia" w:ascii="仿宋_GB2312" w:hAnsi="仿宋" w:eastAsia="仿宋_GB2312" w:cs="宋体"/>
                <w:color w:val="000000"/>
                <w:kern w:val="0"/>
                <w:szCs w:val="21"/>
              </w:rPr>
              <w:t>轮投资，政府补助和慈善奖金总计超过</w:t>
            </w:r>
            <w:r>
              <w:rPr>
                <w:rFonts w:ascii="仿宋_GB2312" w:hAnsi="仿宋" w:eastAsia="仿宋_GB2312" w:cs="宋体"/>
                <w:color w:val="000000"/>
                <w:kern w:val="0"/>
                <w:szCs w:val="21"/>
              </w:rPr>
              <w:t>1200</w:t>
            </w:r>
            <w:r>
              <w:rPr>
                <w:rFonts w:hint="eastAsia" w:ascii="仿宋_GB2312" w:hAnsi="仿宋" w:eastAsia="仿宋_GB2312" w:cs="宋体"/>
                <w:color w:val="000000"/>
                <w:kern w:val="0"/>
                <w:szCs w:val="21"/>
              </w:rPr>
              <w:t>万英镑（</w:t>
            </w:r>
            <w:r>
              <w:rPr>
                <w:rFonts w:ascii="仿宋_GB2312" w:hAnsi="仿宋" w:eastAsia="仿宋_GB2312" w:cs="宋体"/>
                <w:color w:val="000000"/>
                <w:kern w:val="0"/>
                <w:szCs w:val="21"/>
              </w:rPr>
              <w:t>1.05</w:t>
            </w:r>
            <w:r>
              <w:rPr>
                <w:rFonts w:hint="eastAsia" w:ascii="仿宋_GB2312" w:hAnsi="仿宋" w:eastAsia="仿宋_GB2312" w:cs="宋体"/>
                <w:color w:val="000000"/>
                <w:kern w:val="0"/>
                <w:szCs w:val="21"/>
              </w:rPr>
              <w:t>亿人民币），该技术通过</w:t>
            </w:r>
            <w:r>
              <w:rPr>
                <w:rFonts w:ascii="仿宋_GB2312" w:hAnsi="仿宋" w:eastAsia="仿宋_GB2312" w:cs="宋体"/>
                <w:color w:val="000000"/>
                <w:kern w:val="0"/>
                <w:szCs w:val="21"/>
              </w:rPr>
              <w:t>26</w:t>
            </w:r>
            <w:r>
              <w:rPr>
                <w:rFonts w:hint="eastAsia" w:ascii="仿宋_GB2312" w:hAnsi="仿宋" w:eastAsia="仿宋_GB2312" w:cs="宋体"/>
                <w:color w:val="000000"/>
                <w:kern w:val="0"/>
                <w:szCs w:val="21"/>
              </w:rPr>
              <w:t>个授权专利获得全球保护。</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3</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eastAsia="仿宋" w:cs="Calibri"/>
                <w:color w:val="000000"/>
                <w:kern w:val="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专注于解决神经退行性疾病的药物发现平台技术</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该药物发现平台技术专注于帕金森病（</w:t>
            </w:r>
            <w:r>
              <w:rPr>
                <w:rFonts w:ascii="仿宋_GB2312" w:hAnsi="仿宋" w:eastAsia="仿宋_GB2312" w:cs="宋体"/>
                <w:color w:val="000000"/>
                <w:kern w:val="0"/>
                <w:szCs w:val="21"/>
              </w:rPr>
              <w:t>PD</w:t>
            </w:r>
            <w:r>
              <w:rPr>
                <w:rFonts w:hint="eastAsia" w:ascii="仿宋_GB2312" w:hAnsi="仿宋" w:eastAsia="仿宋_GB2312" w:cs="宋体"/>
                <w:color w:val="000000"/>
                <w:kern w:val="0"/>
                <w:szCs w:val="21"/>
              </w:rPr>
              <w:t>）、老年痴呆症（</w:t>
            </w:r>
            <w:r>
              <w:rPr>
                <w:rFonts w:ascii="仿宋_GB2312" w:hAnsi="仿宋" w:eastAsia="仿宋_GB2312" w:cs="宋体"/>
                <w:color w:val="000000"/>
                <w:kern w:val="0"/>
                <w:szCs w:val="21"/>
              </w:rPr>
              <w:t>AD</w:t>
            </w:r>
            <w:r>
              <w:rPr>
                <w:rFonts w:hint="eastAsia" w:ascii="仿宋_GB2312" w:hAnsi="仿宋" w:eastAsia="仿宋_GB2312" w:cs="宋体"/>
                <w:color w:val="000000"/>
                <w:kern w:val="0"/>
                <w:szCs w:val="21"/>
              </w:rPr>
              <w:t>）及其他相关疾病如二型糖尿病（</w:t>
            </w:r>
            <w:r>
              <w:rPr>
                <w:rFonts w:ascii="仿宋_GB2312" w:hAnsi="仿宋" w:eastAsia="仿宋_GB2312" w:cs="宋体"/>
                <w:color w:val="000000"/>
                <w:kern w:val="0"/>
                <w:szCs w:val="21"/>
              </w:rPr>
              <w:t>T2D</w:t>
            </w:r>
            <w:r>
              <w:rPr>
                <w:rFonts w:hint="eastAsia" w:ascii="仿宋_GB2312" w:hAnsi="仿宋" w:eastAsia="仿宋_GB2312" w:cs="宋体"/>
                <w:color w:val="000000"/>
                <w:kern w:val="0"/>
                <w:szCs w:val="21"/>
              </w:rPr>
              <w:t>）的药物筛选及研发。</w:t>
            </w:r>
            <w:r>
              <w:rPr>
                <w:rFonts w:ascii="仿宋_GB2312" w:hAnsi="仿宋" w:eastAsia="仿宋_GB2312" w:cs="宋体"/>
                <w:color w:val="000000"/>
                <w:kern w:val="0"/>
                <w:szCs w:val="21"/>
              </w:rPr>
              <w:t xml:space="preserve"> </w:t>
            </w:r>
            <w:r>
              <w:rPr>
                <w:rFonts w:hint="eastAsia" w:ascii="仿宋_GB2312" w:hAnsi="仿宋" w:eastAsia="仿宋_GB2312" w:cs="宋体"/>
                <w:color w:val="000000"/>
                <w:kern w:val="0"/>
                <w:szCs w:val="21"/>
              </w:rPr>
              <w:t>团队采用崭新的药物筛选技术，从根本的生物机理解决这些病中的生物应激（</w:t>
            </w:r>
            <w:r>
              <w:rPr>
                <w:rFonts w:ascii="仿宋_GB2312" w:hAnsi="仿宋" w:eastAsia="仿宋_GB2312" w:cs="宋体"/>
                <w:color w:val="000000"/>
                <w:kern w:val="0"/>
                <w:szCs w:val="21"/>
              </w:rPr>
              <w:t>Biochemical Stress</w:t>
            </w:r>
            <w:r>
              <w:rPr>
                <w:rFonts w:hint="eastAsia" w:ascii="仿宋_GB2312" w:hAnsi="仿宋" w:eastAsia="仿宋_GB2312" w:cs="宋体"/>
                <w:color w:val="000000"/>
                <w:kern w:val="0"/>
                <w:szCs w:val="21"/>
              </w:rPr>
              <w:t>）问题</w:t>
            </w:r>
            <w:r>
              <w:rPr>
                <w:rFonts w:hint="eastAsia" w:ascii="仿宋_GB2312" w:hAnsi="仿宋" w:eastAsia="仿宋" w:cs="宋体"/>
                <w:color w:val="000000"/>
                <w:kern w:val="0"/>
                <w:szCs w:val="21"/>
              </w:rPr>
              <w:t>，</w:t>
            </w:r>
            <w:r>
              <w:rPr>
                <w:rFonts w:hint="eastAsia" w:ascii="仿宋_GB2312" w:hAnsi="仿宋" w:eastAsia="仿宋_GB2312" w:cs="宋体"/>
                <w:color w:val="000000"/>
                <w:kern w:val="0"/>
                <w:szCs w:val="21"/>
              </w:rPr>
              <w:t>当中包括氧化压力（</w:t>
            </w:r>
            <w:r>
              <w:rPr>
                <w:rFonts w:ascii="仿宋_GB2312" w:hAnsi="仿宋" w:eastAsia="仿宋_GB2312" w:cs="宋体"/>
                <w:color w:val="000000"/>
                <w:kern w:val="0"/>
                <w:szCs w:val="21"/>
              </w:rPr>
              <w:t>Oxidative Stress</w:t>
            </w:r>
            <w:r>
              <w:rPr>
                <w:rFonts w:hint="eastAsia" w:ascii="仿宋_GB2312" w:hAnsi="仿宋" w:eastAsia="仿宋_GB2312" w:cs="宋体"/>
                <w:color w:val="000000"/>
                <w:kern w:val="0"/>
                <w:szCs w:val="21"/>
              </w:rPr>
              <w:t>）、糖化压力（</w:t>
            </w:r>
            <w:r>
              <w:rPr>
                <w:rFonts w:ascii="仿宋_GB2312" w:hAnsi="仿宋" w:eastAsia="仿宋_GB2312" w:cs="宋体"/>
                <w:color w:val="000000"/>
                <w:kern w:val="0"/>
                <w:szCs w:val="21"/>
              </w:rPr>
              <w:t>Glyoxal Stress</w:t>
            </w:r>
            <w:r>
              <w:rPr>
                <w:rFonts w:hint="eastAsia" w:ascii="仿宋_GB2312" w:hAnsi="仿宋" w:eastAsia="仿宋_GB2312" w:cs="宋体"/>
                <w:color w:val="000000"/>
                <w:kern w:val="0"/>
                <w:szCs w:val="21"/>
              </w:rPr>
              <w:t>）及蛋白质聚合（</w:t>
            </w:r>
            <w:r>
              <w:rPr>
                <w:rFonts w:ascii="仿宋_GB2312" w:hAnsi="仿宋" w:eastAsia="仿宋_GB2312" w:cs="宋体"/>
                <w:color w:val="000000"/>
                <w:kern w:val="0"/>
                <w:szCs w:val="21"/>
              </w:rPr>
              <w:t>Protein Aggregation</w:t>
            </w:r>
            <w:r>
              <w:rPr>
                <w:rFonts w:hint="eastAsia" w:ascii="仿宋_GB2312" w:hAnsi="仿宋" w:eastAsia="仿宋_GB2312" w:cs="宋体"/>
                <w:color w:val="000000"/>
                <w:kern w:val="0"/>
                <w:szCs w:val="21"/>
              </w:rPr>
              <w:t>）压力等，核心技术优势在于针对非固定结构蛋白（</w:t>
            </w:r>
            <w:r>
              <w:rPr>
                <w:rFonts w:ascii="仿宋_GB2312" w:hAnsi="仿宋" w:eastAsia="仿宋_GB2312" w:cs="宋体"/>
                <w:color w:val="000000"/>
                <w:kern w:val="0"/>
                <w:szCs w:val="21"/>
              </w:rPr>
              <w:t>Intrinsically Disordered Proteins</w:t>
            </w:r>
            <w:r>
              <w:rPr>
                <w:rFonts w:hint="eastAsia" w:ascii="仿宋_GB2312" w:hAnsi="仿宋" w:eastAsia="仿宋_GB2312" w:cs="宋体"/>
                <w:color w:val="000000"/>
                <w:kern w:val="0"/>
                <w:szCs w:val="21"/>
              </w:rPr>
              <w:t>）如</w:t>
            </w:r>
            <w:r>
              <w:rPr>
                <w:rFonts w:ascii="仿宋_GB2312" w:hAnsi="仿宋" w:eastAsia="仿宋_GB2312" w:cs="宋体"/>
                <w:color w:val="000000"/>
                <w:kern w:val="0"/>
                <w:szCs w:val="21"/>
              </w:rPr>
              <w:t>Tau</w:t>
            </w:r>
            <w:r>
              <w:rPr>
                <w:rFonts w:hint="eastAsia" w:ascii="仿宋_GB2312" w:hAnsi="仿宋" w:eastAsia="仿宋_GB2312" w:cs="宋体"/>
                <w:color w:val="000000"/>
                <w:kern w:val="0"/>
                <w:szCs w:val="21"/>
              </w:rPr>
              <w:t>和新型蛋白标靶如</w:t>
            </w:r>
            <w:r>
              <w:rPr>
                <w:rFonts w:ascii="仿宋_GB2312" w:hAnsi="仿宋" w:eastAsia="仿宋_GB2312" w:cs="宋体"/>
                <w:color w:val="000000"/>
                <w:kern w:val="0"/>
                <w:szCs w:val="21"/>
              </w:rPr>
              <w:t>DJ-1</w:t>
            </w:r>
            <w:r>
              <w:rPr>
                <w:rFonts w:hint="eastAsia" w:ascii="仿宋_GB2312" w:hAnsi="仿宋" w:eastAsia="仿宋_GB2312" w:cs="宋体"/>
                <w:color w:val="000000"/>
                <w:kern w:val="0"/>
                <w:szCs w:val="21"/>
              </w:rPr>
              <w:t>的研发能力。</w:t>
            </w:r>
            <w:r>
              <w:rPr>
                <w:rFonts w:ascii="仿宋_GB2312" w:hAnsi="仿宋" w:eastAsia="仿宋_GB2312" w:cs="宋体"/>
                <w:color w:val="000000"/>
                <w:kern w:val="0"/>
                <w:szCs w:val="21"/>
              </w:rPr>
              <w:t>DJ-1</w:t>
            </w:r>
            <w:r>
              <w:rPr>
                <w:rFonts w:hint="eastAsia" w:ascii="仿宋_GB2312" w:hAnsi="仿宋" w:eastAsia="仿宋_GB2312" w:cs="宋体"/>
                <w:color w:val="000000"/>
                <w:kern w:val="0"/>
                <w:szCs w:val="21"/>
              </w:rPr>
              <w:t>多功能的特性能对生物应激压力产生系统性的影响。目前已有三款药物进入临床一期阶段。</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4</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eastAsia="仿宋" w:cs="Calibri"/>
                <w:color w:val="000000"/>
                <w:kern w:val="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用于远程医疗、急诊和家庭医学的通讯软件</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IT</w:t>
            </w:r>
            <w:r>
              <w:rPr>
                <w:rFonts w:hint="eastAsia" w:ascii="仿宋_GB2312" w:hAnsi="仿宋" w:eastAsia="仿宋_GB2312" w:cs="宋体"/>
                <w:color w:val="000000"/>
                <w:kern w:val="0"/>
                <w:szCs w:val="21"/>
              </w:rPr>
              <w:t>通信器主要用途为：</w:t>
            </w:r>
            <w:r>
              <w:rPr>
                <w:rFonts w:ascii="仿宋_GB2312" w:hAnsi="仿宋" w:eastAsia="仿宋_GB2312" w:cs="宋体"/>
                <w:color w:val="000000"/>
                <w:kern w:val="0"/>
                <w:szCs w:val="21"/>
              </w:rPr>
              <w:t>1.</w:t>
            </w:r>
            <w:r>
              <w:rPr>
                <w:rFonts w:hint="eastAsia" w:ascii="仿宋_GB2312" w:hAnsi="仿宋" w:eastAsia="仿宋_GB2312" w:cs="宋体"/>
                <w:color w:val="000000"/>
                <w:kern w:val="0"/>
                <w:szCs w:val="21"/>
              </w:rPr>
              <w:t>医学方面：例如在对患者进行初步检查时，用于支持医生与患者的首次接触（语音限制），并获得有关患者状态的信息。</w:t>
            </w:r>
            <w:r>
              <w:rPr>
                <w:rFonts w:ascii="仿宋_GB2312" w:hAnsi="仿宋" w:eastAsia="仿宋_GB2312" w:cs="宋体"/>
                <w:color w:val="000000"/>
                <w:kern w:val="0"/>
                <w:szCs w:val="21"/>
              </w:rPr>
              <w:t>2.</w:t>
            </w:r>
            <w:r>
              <w:rPr>
                <w:rFonts w:hint="eastAsia" w:ascii="仿宋_GB2312" w:hAnsi="仿宋" w:eastAsia="仿宋_GB2312" w:cs="宋体"/>
                <w:color w:val="000000"/>
                <w:kern w:val="0"/>
                <w:szCs w:val="21"/>
              </w:rPr>
              <w:t>为语言受限的患者提供急救：在这种情况下，</w:t>
            </w:r>
            <w:r>
              <w:rPr>
                <w:rFonts w:ascii="仿宋_GB2312" w:hAnsi="仿宋" w:eastAsia="仿宋_GB2312" w:cs="宋体"/>
                <w:color w:val="000000"/>
                <w:kern w:val="0"/>
                <w:szCs w:val="21"/>
              </w:rPr>
              <w:t>IT</w:t>
            </w:r>
            <w:r>
              <w:rPr>
                <w:rFonts w:hint="eastAsia" w:ascii="仿宋_GB2312" w:hAnsi="仿宋" w:eastAsia="仿宋_GB2312" w:cs="宋体"/>
                <w:color w:val="000000"/>
                <w:kern w:val="0"/>
                <w:szCs w:val="21"/>
              </w:rPr>
              <w:t>通讯器可以帮助患者与医生进行交流。</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项目优势：现代计算机设备和</w:t>
            </w:r>
            <w:r>
              <w:rPr>
                <w:rFonts w:ascii="仿宋_GB2312" w:hAnsi="仿宋" w:eastAsia="仿宋_GB2312" w:cs="宋体"/>
                <w:color w:val="000000"/>
                <w:kern w:val="0"/>
                <w:szCs w:val="21"/>
              </w:rPr>
              <w:t>IT</w:t>
            </w:r>
            <w:r>
              <w:rPr>
                <w:rFonts w:hint="eastAsia" w:ascii="仿宋_GB2312" w:hAnsi="仿宋" w:eastAsia="仿宋_GB2312" w:cs="宋体"/>
                <w:color w:val="000000"/>
                <w:kern w:val="0"/>
                <w:szCs w:val="21"/>
              </w:rPr>
              <w:t>在医学中的应用可以减少许多认知问题，提高患者与医生的首次接触的效率，并迅速做出诊断并正确选择治疗方法。</w:t>
            </w:r>
            <w:r>
              <w:rPr>
                <w:rFonts w:ascii="仿宋_GB2312" w:hAnsi="仿宋" w:eastAsia="仿宋_GB2312" w:cs="宋体"/>
                <w:color w:val="000000"/>
                <w:kern w:val="0"/>
                <w:szCs w:val="21"/>
              </w:rPr>
              <w:t>IT</w:t>
            </w:r>
            <w:r>
              <w:rPr>
                <w:rFonts w:hint="eastAsia" w:ascii="仿宋_GB2312" w:hAnsi="仿宋" w:eastAsia="仿宋_GB2312" w:cs="宋体"/>
                <w:color w:val="000000"/>
                <w:kern w:val="0"/>
                <w:szCs w:val="21"/>
              </w:rPr>
              <w:t>通信器在家庭医学中非常重要，它可以使医生和患者保持清晰的交流，从而提高急救质量。</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5</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eastAsia="仿宋" w:cs="Calibri"/>
                <w:color w:val="000000"/>
                <w:kern w:val="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自动呼吸控制技术</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呼吸技术与人的自主神经系统的关系在科学上得到证实。</w:t>
            </w:r>
            <w:r>
              <w:rPr>
                <w:rFonts w:ascii="仿宋_GB2312" w:hAnsi="仿宋" w:eastAsia="仿宋_GB2312" w:cs="宋体"/>
                <w:color w:val="000000"/>
                <w:kern w:val="0"/>
                <w:szCs w:val="21"/>
              </w:rPr>
              <w:t xml:space="preserve"> </w:t>
            </w:r>
            <w:r>
              <w:rPr>
                <w:rFonts w:hint="eastAsia" w:ascii="仿宋_GB2312" w:hAnsi="仿宋" w:eastAsia="仿宋_GB2312" w:cs="宋体"/>
                <w:color w:val="000000"/>
                <w:kern w:val="0"/>
                <w:szCs w:val="21"/>
              </w:rPr>
              <w:t>“计时生物学”和“计时医学”科学领域的规定解释了当在呼吸公式中使用特定人的脉搏而非绝对时间单位（秒）时，个人呼吸控制技术的有效性。科学地证明了将呼吸技术与脉搏而不是绝对时间联系起来的有效性。</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另一方面，人类早已知道各种呼吸运动。例如，瑜伽呼吸练习是经过时间考验的，其有效性毋庸置疑。但是，为了从使用中获得最大的效果，需要进行长时间的锻炼才能发展一个人“听到”他的脉搏的能力。计算机辅助训练的潜在目的是：增加一个人的肌肉的强直性和效率</w:t>
            </w:r>
            <w:r>
              <w:rPr>
                <w:rFonts w:hint="eastAsia" w:ascii="仿宋_GB2312" w:hAnsi="仿宋_GB2312" w:eastAsia="仿宋_GB2312" w:cs="仿宋_GB2312"/>
                <w:color w:val="000000"/>
                <w:kern w:val="0"/>
                <w:szCs w:val="21"/>
              </w:rPr>
              <w:t>、</w:t>
            </w:r>
            <w:r>
              <w:rPr>
                <w:rFonts w:hint="eastAsia" w:ascii="仿宋_GB2312" w:hAnsi="仿宋" w:eastAsia="仿宋_GB2312" w:cs="宋体"/>
                <w:color w:val="000000"/>
                <w:kern w:val="0"/>
                <w:szCs w:val="21"/>
              </w:rPr>
              <w:t>缓解神经紧张，压力，焦虑、治疗高血压及其他心血管疾病、去除头痛、去除失眠、戒除酒精和药物成瘾及其他。</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6</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eastAsia="仿宋" w:cs="Calibri"/>
                <w:color w:val="000000"/>
                <w:kern w:val="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临床数字化诊断技术</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该技术通过简单易用的</w:t>
            </w:r>
            <w:r>
              <w:rPr>
                <w:rFonts w:ascii="仿宋_GB2312" w:hAnsi="仿宋" w:eastAsia="仿宋_GB2312" w:cs="宋体"/>
                <w:color w:val="000000"/>
                <w:kern w:val="0"/>
                <w:szCs w:val="21"/>
              </w:rPr>
              <w:t>APP</w:t>
            </w:r>
            <w:r>
              <w:rPr>
                <w:rFonts w:hint="eastAsia" w:ascii="仿宋_GB2312" w:hAnsi="仿宋" w:eastAsia="仿宋_GB2312" w:cs="宋体"/>
                <w:color w:val="000000"/>
                <w:kern w:val="0"/>
                <w:szCs w:val="21"/>
              </w:rPr>
              <w:t>，利用其精准的算法，精确测量病人的步态数据来作为疾病临床诊断，监测的辅助工具。首个产品应用于糖尿病神经病变监测。优势：</w:t>
            </w:r>
            <w:r>
              <w:rPr>
                <w:rFonts w:ascii="仿宋_GB2312" w:hAnsi="仿宋" w:eastAsia="仿宋_GB2312" w:cs="宋体"/>
                <w:color w:val="000000"/>
                <w:kern w:val="0"/>
                <w:szCs w:val="21"/>
              </w:rPr>
              <w:t>1.</w:t>
            </w:r>
            <w:r>
              <w:rPr>
                <w:rFonts w:hint="eastAsia" w:ascii="仿宋_GB2312" w:hAnsi="仿宋" w:eastAsia="仿宋_GB2312" w:cs="宋体"/>
                <w:color w:val="000000"/>
                <w:kern w:val="0"/>
                <w:szCs w:val="21"/>
              </w:rPr>
              <w:t>高灵敏度和准确性、内部控制、简单快速、能完成复杂步态分析，</w:t>
            </w:r>
            <w:r>
              <w:rPr>
                <w:rFonts w:ascii="仿宋_GB2312" w:hAnsi="仿宋" w:eastAsia="仿宋_GB2312" w:cs="宋体"/>
                <w:color w:val="000000"/>
                <w:kern w:val="0"/>
                <w:szCs w:val="21"/>
              </w:rPr>
              <w:t>15</w:t>
            </w:r>
            <w:r>
              <w:rPr>
                <w:rFonts w:hint="eastAsia" w:ascii="仿宋_GB2312" w:hAnsi="仿宋" w:eastAsia="仿宋_GB2312" w:cs="宋体"/>
                <w:color w:val="000000"/>
                <w:kern w:val="0"/>
                <w:szCs w:val="21"/>
              </w:rPr>
              <w:t>步之内完成分析。</w:t>
            </w:r>
            <w:r>
              <w:rPr>
                <w:rFonts w:ascii="仿宋_GB2312" w:hAnsi="仿宋" w:eastAsia="仿宋_GB2312" w:cs="宋体"/>
                <w:color w:val="000000"/>
                <w:kern w:val="0"/>
                <w:szCs w:val="21"/>
              </w:rPr>
              <w:t>2.</w:t>
            </w:r>
            <w:r>
              <w:rPr>
                <w:rFonts w:hint="eastAsia" w:ascii="仿宋_GB2312" w:hAnsi="仿宋" w:eastAsia="仿宋_GB2312" w:cs="宋体"/>
                <w:color w:val="000000"/>
                <w:kern w:val="0"/>
                <w:szCs w:val="21"/>
              </w:rPr>
              <w:t>能在临床表现前从步态发现变化。目前申请了两项专利，并拥有卓著的临床试验数据。已经完成手机版本的样品测试，预计两年之内面市。</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7</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eastAsia="仿宋" w:cs="Calibri"/>
                <w:color w:val="000000"/>
                <w:kern w:val="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ascii="仿宋_GB2312" w:hAnsi="仿宋" w:eastAsia="仿宋_GB2312" w:cs="宋体"/>
                <w:b/>
                <w:bCs/>
                <w:color w:val="000000"/>
                <w:kern w:val="0"/>
                <w:szCs w:val="21"/>
              </w:rPr>
              <w:t>Cardiolyse</w:t>
            </w:r>
            <w:r>
              <w:rPr>
                <w:rFonts w:hint="eastAsia" w:ascii="仿宋_GB2312" w:hAnsi="仿宋" w:eastAsia="仿宋_GB2312" w:cs="宋体"/>
                <w:b/>
                <w:bCs/>
                <w:color w:val="000000"/>
                <w:kern w:val="0"/>
                <w:szCs w:val="21"/>
              </w:rPr>
              <w:t>智能心电图仪</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Cardiolyse</w:t>
            </w:r>
            <w:r>
              <w:rPr>
                <w:rFonts w:hint="eastAsia" w:ascii="仿宋_GB2312" w:hAnsi="仿宋" w:eastAsia="仿宋_GB2312" w:cs="宋体"/>
                <w:color w:val="000000"/>
                <w:kern w:val="0"/>
                <w:szCs w:val="21"/>
              </w:rPr>
              <w:t>是一个智能化的心电图仪，适用于健康看护和临床诊断，具有独特的智能化软件，能够自动解析心电图的检测结果，临床医师或个人都可以使用。</w:t>
            </w:r>
            <w:r>
              <w:rPr>
                <w:rFonts w:ascii="仿宋_GB2312" w:hAnsi="仿宋" w:eastAsia="仿宋_GB2312" w:cs="宋体"/>
                <w:color w:val="000000"/>
                <w:kern w:val="0"/>
                <w:szCs w:val="21"/>
              </w:rPr>
              <w:t>Cardiolyse</w:t>
            </w:r>
            <w:r>
              <w:rPr>
                <w:rFonts w:hint="eastAsia" w:ascii="仿宋_GB2312" w:hAnsi="仿宋" w:eastAsia="仿宋_GB2312" w:cs="宋体"/>
                <w:color w:val="000000"/>
                <w:kern w:val="0"/>
                <w:szCs w:val="21"/>
              </w:rPr>
              <w:t>包括硬件和软件。硬件</w:t>
            </w:r>
            <w:r>
              <w:rPr>
                <w:rFonts w:ascii="仿宋_GB2312" w:hAnsi="仿宋" w:eastAsia="仿宋_GB2312" w:cs="宋体"/>
                <w:color w:val="000000"/>
                <w:kern w:val="0"/>
                <w:szCs w:val="21"/>
              </w:rPr>
              <w:t xml:space="preserve">: </w:t>
            </w:r>
            <w:r>
              <w:rPr>
                <w:rFonts w:hint="eastAsia" w:ascii="仿宋_GB2312" w:hAnsi="仿宋" w:eastAsia="仿宋_GB2312" w:cs="宋体"/>
                <w:color w:val="000000"/>
                <w:kern w:val="0"/>
                <w:szCs w:val="21"/>
              </w:rPr>
              <w:t>便捷易用的微型心电图设备，</w:t>
            </w:r>
            <w:r>
              <w:rPr>
                <w:rFonts w:ascii="仿宋_GB2312" w:hAnsi="仿宋" w:eastAsia="仿宋_GB2312" w:cs="宋体"/>
                <w:color w:val="000000"/>
                <w:kern w:val="0"/>
                <w:szCs w:val="21"/>
              </w:rPr>
              <w:t>6</w:t>
            </w:r>
            <w:r>
              <w:rPr>
                <w:rFonts w:hint="eastAsia" w:ascii="仿宋_GB2312" w:hAnsi="仿宋" w:eastAsia="仿宋_GB2312" w:cs="宋体"/>
                <w:color w:val="000000"/>
                <w:kern w:val="0"/>
                <w:szCs w:val="21"/>
              </w:rPr>
              <w:t>导联，用于健康监护；</w:t>
            </w:r>
            <w:r>
              <w:rPr>
                <w:rFonts w:ascii="仿宋_GB2312" w:hAnsi="仿宋" w:eastAsia="仿宋_GB2312" w:cs="宋体"/>
                <w:color w:val="000000"/>
                <w:kern w:val="0"/>
                <w:szCs w:val="21"/>
              </w:rPr>
              <w:t>12</w:t>
            </w:r>
            <w:r>
              <w:rPr>
                <w:rFonts w:hint="eastAsia" w:ascii="仿宋_GB2312" w:hAnsi="仿宋" w:eastAsia="仿宋_GB2312" w:cs="宋体"/>
                <w:color w:val="000000"/>
                <w:kern w:val="0"/>
                <w:szCs w:val="21"/>
              </w:rPr>
              <w:t>导联，用于临床诊断。</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软件：该软件独特而先进，主要创新之处有先进、独特的心电图通用评分系统，基于分析数量超过</w:t>
            </w:r>
            <w:r>
              <w:rPr>
                <w:rFonts w:ascii="仿宋_GB2312" w:hAnsi="仿宋" w:eastAsia="仿宋_GB2312" w:cs="宋体"/>
                <w:color w:val="000000"/>
                <w:kern w:val="0"/>
                <w:szCs w:val="21"/>
              </w:rPr>
              <w:t>200</w:t>
            </w:r>
            <w:r>
              <w:rPr>
                <w:rFonts w:hint="eastAsia" w:ascii="仿宋_GB2312" w:hAnsi="仿宋" w:eastAsia="仿宋_GB2312" w:cs="宋体"/>
                <w:color w:val="000000"/>
                <w:kern w:val="0"/>
                <w:szCs w:val="21"/>
              </w:rPr>
              <w:t>个的心电图参数，同时利用颜色逻辑的方式，可视化地呈现定量评估的结果，显示心肌和心律失常状态；心理情绪状态和心动功能的评估则是通过基于心律波动的特殊算法进行分析</w:t>
            </w:r>
            <w:r>
              <w:rPr>
                <w:rFonts w:ascii="仿宋_GB2312" w:hAnsi="仿宋" w:eastAsia="仿宋_GB2312" w:cs="宋体"/>
                <w:color w:val="000000"/>
                <w:kern w:val="0"/>
                <w:szCs w:val="21"/>
              </w:rPr>
              <w:t xml:space="preserve">, </w:t>
            </w:r>
            <w:r>
              <w:rPr>
                <w:rFonts w:hint="eastAsia" w:ascii="仿宋_GB2312" w:hAnsi="仿宋" w:eastAsia="仿宋_GB2312" w:cs="宋体"/>
                <w:color w:val="000000"/>
                <w:kern w:val="0"/>
                <w:szCs w:val="21"/>
              </w:rPr>
              <w:t>客观的评估心理压力、情绪调节、心脏动力潜能等。通过仅仅</w:t>
            </w:r>
            <w:r>
              <w:rPr>
                <w:rFonts w:ascii="仿宋_GB2312" w:hAnsi="仿宋" w:eastAsia="仿宋_GB2312" w:cs="宋体"/>
                <w:color w:val="000000"/>
                <w:kern w:val="0"/>
                <w:szCs w:val="21"/>
              </w:rPr>
              <w:t>5</w:t>
            </w:r>
            <w:r>
              <w:rPr>
                <w:rFonts w:hint="eastAsia" w:ascii="仿宋_GB2312" w:hAnsi="仿宋" w:eastAsia="仿宋_GB2312" w:cs="宋体"/>
                <w:color w:val="000000"/>
                <w:kern w:val="0"/>
                <w:szCs w:val="21"/>
              </w:rPr>
              <w:t>分钟的心电图记录和分析，这个系统可以为使用者预测未来</w:t>
            </w:r>
            <w:r>
              <w:rPr>
                <w:rFonts w:ascii="仿宋_GB2312" w:hAnsi="仿宋" w:eastAsia="仿宋_GB2312" w:cs="宋体"/>
                <w:color w:val="000000"/>
                <w:kern w:val="0"/>
                <w:szCs w:val="21"/>
              </w:rPr>
              <w:t>6</w:t>
            </w:r>
            <w:r>
              <w:rPr>
                <w:rFonts w:hint="eastAsia" w:ascii="仿宋_GB2312" w:hAnsi="仿宋" w:eastAsia="仿宋_GB2312" w:cs="宋体"/>
                <w:color w:val="000000"/>
                <w:kern w:val="0"/>
                <w:szCs w:val="21"/>
              </w:rPr>
              <w:t>个月内是否会有严重的心血管问题。</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8</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eastAsia="仿宋" w:cs="Calibri"/>
                <w:color w:val="000000"/>
                <w:kern w:val="0"/>
                <w:sz w:val="24"/>
              </w:rPr>
            </w:pPr>
            <w:r>
              <w:rPr>
                <w:rFonts w:hint="eastAsia" w:ascii="仿宋_GB2312" w:hAnsi="仿宋" w:eastAsia="仿宋_GB2312" w:cs="宋体"/>
                <w:color w:val="000000"/>
                <w:kern w:val="0"/>
                <w:szCs w:val="21"/>
              </w:rPr>
              <w:t>科技创新</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针对呼吸疾病持续自我监控的智能可穿戴医疗保健设备和服务</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通过云连接的智能可穿戴健康设备进行长期的自我监控，能够帮助用户观察自身数据的模型，这将有利于提高治疗过程的功效，并使用户接受更健康的行为。通过持续的自我监控，用户能够尽早发现身体健康异常，及时得到调整和治疗，并且避免小毛病恶化。该产品属于二类医疗器械，对取得</w:t>
            </w:r>
            <w:r>
              <w:rPr>
                <w:rFonts w:ascii="仿宋_GB2312" w:hAnsi="仿宋" w:eastAsia="仿宋_GB2312" w:cs="宋体"/>
                <w:color w:val="000000"/>
                <w:kern w:val="0"/>
                <w:szCs w:val="21"/>
              </w:rPr>
              <w:t>CE</w:t>
            </w:r>
            <w:r>
              <w:rPr>
                <w:rFonts w:hint="eastAsia" w:ascii="仿宋_GB2312" w:hAnsi="仿宋" w:eastAsia="仿宋_GB2312" w:cs="宋体"/>
                <w:color w:val="000000"/>
                <w:kern w:val="0"/>
                <w:szCs w:val="21"/>
              </w:rPr>
              <w:t>和</w:t>
            </w:r>
            <w:r>
              <w:rPr>
                <w:rFonts w:ascii="仿宋_GB2312" w:hAnsi="仿宋" w:eastAsia="仿宋_GB2312" w:cs="宋体"/>
                <w:color w:val="000000"/>
                <w:kern w:val="0"/>
                <w:szCs w:val="21"/>
              </w:rPr>
              <w:t>FDA</w:t>
            </w:r>
            <w:r>
              <w:rPr>
                <w:rFonts w:hint="eastAsia" w:ascii="仿宋_GB2312" w:hAnsi="仿宋" w:eastAsia="仿宋_GB2312" w:cs="宋体"/>
                <w:color w:val="000000"/>
                <w:kern w:val="0"/>
                <w:szCs w:val="21"/>
              </w:rPr>
              <w:t>批准有明确的途径。现已推出第三代产品，跨界认证的医疗设备</w:t>
            </w:r>
            <w:r>
              <w:rPr>
                <w:rFonts w:ascii="仿宋_GB2312" w:hAnsi="仿宋" w:eastAsia="仿宋_GB2312" w:cs="宋体"/>
                <w:color w:val="000000"/>
                <w:kern w:val="0"/>
                <w:szCs w:val="21"/>
              </w:rPr>
              <w:t xml:space="preserve"> </w:t>
            </w:r>
            <w:r>
              <w:rPr>
                <w:rFonts w:ascii="仿宋_GB2312" w:hAnsi="仿宋" w:eastAsia="仿宋" w:cs="宋体"/>
                <w:color w:val="000000"/>
                <w:kern w:val="0"/>
                <w:szCs w:val="21"/>
              </w:rPr>
              <w:t>–</w:t>
            </w:r>
            <w:r>
              <w:rPr>
                <w:rFonts w:ascii="仿宋_GB2312" w:hAnsi="仿宋" w:eastAsia="仿宋_GB2312" w:cs="宋体"/>
                <w:color w:val="000000"/>
                <w:kern w:val="0"/>
                <w:szCs w:val="21"/>
              </w:rPr>
              <w:t xml:space="preserve"> </w:t>
            </w:r>
            <w:r>
              <w:rPr>
                <w:rFonts w:hint="eastAsia" w:ascii="仿宋_GB2312" w:hAnsi="仿宋" w:eastAsia="仿宋_GB2312" w:cs="宋体"/>
                <w:color w:val="000000"/>
                <w:kern w:val="0"/>
                <w:szCs w:val="21"/>
              </w:rPr>
              <w:t>智能手表；该智能手表已经通过临床证据证明了功效。数据通过指尖的传感圈进行监控，包括血氧饱和度，体温，心跳和体力活动。数据可通过蓝牙传递到智能手表，并且可通过无线网络或者</w:t>
            </w:r>
            <w:r>
              <w:rPr>
                <w:rFonts w:ascii="仿宋_GB2312" w:hAnsi="仿宋" w:eastAsia="仿宋_GB2312" w:cs="宋体"/>
                <w:color w:val="000000"/>
                <w:kern w:val="0"/>
                <w:szCs w:val="21"/>
              </w:rPr>
              <w:t>3/4G</w:t>
            </w:r>
            <w:r>
              <w:rPr>
                <w:rFonts w:hint="eastAsia" w:ascii="仿宋_GB2312" w:hAnsi="仿宋" w:eastAsia="仿宋_GB2312" w:cs="宋体"/>
                <w:color w:val="000000"/>
                <w:kern w:val="0"/>
                <w:szCs w:val="21"/>
              </w:rPr>
              <w:t>网络与用户的移动电话沟通。</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9</w:t>
            </w:r>
          </w:p>
        </w:tc>
        <w:tc>
          <w:tcPr>
            <w:tcW w:w="1496" w:type="dxa"/>
            <w:vAlign w:val="center"/>
          </w:tcPr>
          <w:p>
            <w:pPr>
              <w:widowControl/>
              <w:ind w:firstLine="205" w:firstLineChars="98"/>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w:t>
            </w:r>
          </w:p>
          <w:p>
            <w:pPr>
              <w:widowControl/>
              <w:jc w:val="center"/>
              <w:rPr>
                <w:rFonts w:eastAsia="仿宋" w:cs="Calibri"/>
                <w:color w:val="000000"/>
                <w:kern w:val="0"/>
                <w:sz w:val="24"/>
              </w:rPr>
            </w:pPr>
            <w:r>
              <w:rPr>
                <w:rFonts w:hint="eastAsia" w:ascii="仿宋_GB2312" w:hAnsi="仿宋" w:eastAsia="仿宋_GB2312" w:cs="宋体"/>
                <w:color w:val="000000"/>
                <w:kern w:val="0"/>
                <w:szCs w:val="21"/>
              </w:rPr>
              <w:t>科技创新</w:t>
            </w:r>
          </w:p>
        </w:tc>
        <w:tc>
          <w:tcPr>
            <w:tcW w:w="8641" w:type="dxa"/>
            <w:vAlign w:val="bottom"/>
          </w:tcPr>
          <w:p>
            <w:pPr>
              <w:jc w:val="left"/>
              <w:rPr>
                <w:rFonts w:ascii="仿宋_GB2312" w:hAnsi="Courier New" w:eastAsia="仿宋_GB2312" w:cs="宋体"/>
                <w:b/>
                <w:bCs/>
                <w:color w:val="000000"/>
                <w:szCs w:val="21"/>
              </w:rPr>
            </w:pPr>
            <w:r>
              <w:rPr>
                <w:rFonts w:hint="eastAsia" w:ascii="仿宋_GB2312" w:hAnsi="Courier New" w:eastAsia="仿宋_GB2312"/>
                <w:b/>
                <w:bCs/>
                <w:color w:val="000000"/>
                <w:szCs w:val="21"/>
              </w:rPr>
              <w:t>无线数字远程实时临床监护仪</w:t>
            </w:r>
            <w:r>
              <w:rPr>
                <w:rFonts w:ascii="仿宋_GB2312" w:hAnsi="Courier New" w:eastAsia="仿宋_GB2312"/>
                <w:b/>
                <w:bCs/>
                <w:color w:val="000000"/>
                <w:szCs w:val="21"/>
              </w:rPr>
              <w:t xml:space="preserve"> </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该临床监护仪系统分为三部分（包括其端口和平台）：</w:t>
            </w:r>
            <w:r>
              <w:rPr>
                <w:rFonts w:ascii="仿宋_GB2312" w:hAnsi="仿宋" w:eastAsia="仿宋_GB2312" w:cs="宋体"/>
                <w:color w:val="000000"/>
                <w:kern w:val="0"/>
                <w:szCs w:val="21"/>
              </w:rPr>
              <w:t>1</w:t>
            </w:r>
            <w:r>
              <w:rPr>
                <w:rFonts w:hint="eastAsia" w:ascii="仿宋_GB2312" w:hAnsi="仿宋" w:eastAsia="仿宋_GB2312" w:cs="宋体"/>
                <w:color w:val="000000"/>
                <w:kern w:val="0"/>
                <w:szCs w:val="21"/>
              </w:rPr>
              <w:t>、无线可穿戴传感器：全套监视器监视生命体征或更多地方，无线连续传输安全数据至病患网关，综合分析简化智能数据，单独使用，简单、防感染，可回收、低成本，低环境影响</w:t>
            </w:r>
            <w:r>
              <w:rPr>
                <w:rFonts w:ascii="仿宋_GB2312" w:hAnsi="仿宋" w:eastAsia="仿宋_GB2312" w:cs="宋体"/>
                <w:color w:val="000000"/>
                <w:kern w:val="0"/>
                <w:szCs w:val="21"/>
              </w:rPr>
              <w:t xml:space="preserve"> 2</w:t>
            </w:r>
            <w:r>
              <w:rPr>
                <w:rFonts w:hint="eastAsia" w:ascii="仿宋_GB2312" w:hAnsi="仿宋" w:eastAsia="仿宋_GB2312" w:cs="宋体"/>
                <w:color w:val="000000"/>
                <w:kern w:val="0"/>
                <w:szCs w:val="21"/>
              </w:rPr>
              <w:t>、病患网关，平板触摸屏，个性化数据入口、床边实时显示，显示病人重要生命体征、早期预警评分和警报，为医务工作者提供简单、精确自动的病患状态</w:t>
            </w:r>
            <w:r>
              <w:rPr>
                <w:rFonts w:ascii="仿宋_GB2312" w:hAnsi="仿宋" w:eastAsia="仿宋_GB2312" w:cs="宋体"/>
                <w:color w:val="000000"/>
                <w:kern w:val="0"/>
                <w:szCs w:val="21"/>
              </w:rPr>
              <w:t xml:space="preserve"> 3</w:t>
            </w:r>
            <w:r>
              <w:rPr>
                <w:rFonts w:hint="eastAsia" w:ascii="仿宋_GB2312" w:hAnsi="仿宋" w:eastAsia="仿宋_GB2312" w:cs="宋体"/>
                <w:color w:val="000000"/>
                <w:kern w:val="0"/>
                <w:szCs w:val="21"/>
              </w:rPr>
              <w:t>、服务器和网络，整合来自病患网关的数据，预测病患结果，为公司和第三方软件及电子病历提供开放接口，整合至工作流程，通过护士和药剂师接口可以简单、独立的访问，基于云端或位于医院</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股权投资</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/JV</w:t>
            </w:r>
            <w:r>
              <w:rPr>
                <w:rFonts w:hint="eastAsia" w:ascii="仿宋_GB2312" w:hAnsi="仿宋" w:eastAsia="仿宋_GB2312" w:cs="宋体"/>
                <w:color w:val="000000"/>
                <w:kern w:val="0"/>
                <w:szCs w:val="21"/>
              </w:rPr>
              <w:t>可谈</w:t>
            </w:r>
          </w:p>
        </w:tc>
        <w:tc>
          <w:tcPr>
            <w:tcW w:w="1236" w:type="dxa"/>
            <w:vAlign w:val="center"/>
          </w:tcPr>
          <w:p>
            <w:pPr>
              <w:widowControl/>
              <w:jc w:val="center"/>
              <w:rPr>
                <w:rFonts w:ascii="仿宋_GB2312" w:hAnsi="仿宋"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10</w:t>
            </w:r>
          </w:p>
        </w:tc>
        <w:tc>
          <w:tcPr>
            <w:tcW w:w="1496"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牛津大学高等研究院（苏州）</w:t>
            </w:r>
            <w:bookmarkStart w:id="0" w:name="_GoBack"/>
            <w:bookmarkEnd w:id="0"/>
          </w:p>
        </w:tc>
        <w:tc>
          <w:tcPr>
            <w:tcW w:w="8641" w:type="dxa"/>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抗细菌、真菌、病毒的新型涂层技术</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单一抗菌涂层技术可以杀死各种微生物，如细菌、病毒和真菌，可杀死新冠病毒（</w:t>
            </w:r>
            <w:r>
              <w:rPr>
                <w:rFonts w:ascii="仿宋_GB2312" w:hAnsi="仿宋" w:eastAsia="仿宋_GB2312" w:cs="宋体"/>
                <w:color w:val="000000"/>
                <w:kern w:val="0"/>
                <w:szCs w:val="21"/>
              </w:rPr>
              <w:t>SARS-COV-2</w:t>
            </w:r>
            <w:r>
              <w:rPr>
                <w:rFonts w:hint="eastAsia" w:ascii="仿宋_GB2312" w:hAnsi="仿宋" w:eastAsia="仿宋_GB2312" w:cs="宋体"/>
                <w:color w:val="000000"/>
                <w:kern w:val="0"/>
                <w:szCs w:val="21"/>
              </w:rPr>
              <w:t>）。</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通过化学方法修饰任何一种聚合物和复合材料。例如聚丙烯、纤维素、尼龙、聚酰胺、聚丙烯酰胺、聚醚砜等。</w:t>
            </w:r>
            <w:r>
              <w:rPr>
                <w:rFonts w:hint="eastAsia" w:ascii="仿宋_GB2312" w:hAnsi="仿宋" w:eastAsia="仿宋_GB2312" w:cs="宋体"/>
                <w:b/>
                <w:bCs/>
                <w:color w:val="000000"/>
                <w:kern w:val="0"/>
                <w:szCs w:val="21"/>
              </w:rPr>
              <w:t>技术优势：</w:t>
            </w:r>
            <w:r>
              <w:rPr>
                <w:rFonts w:hint="eastAsia" w:ascii="仿宋_GB2312" w:hAnsi="仿宋" w:eastAsia="仿宋_GB2312" w:cs="宋体"/>
                <w:color w:val="000000"/>
                <w:kern w:val="0"/>
                <w:szCs w:val="21"/>
              </w:rPr>
              <w:t>可覆盖任何种类的材料，并且可以杀死任何种类的微生物，例如细菌、真菌、病毒。基于绿色聚合物，可安全用于健康相关产品。涂层工艺简单、经济，易于大规模生产。</w:t>
            </w:r>
            <w:r>
              <w:rPr>
                <w:rFonts w:hint="eastAsia" w:ascii="仿宋_GB2312" w:hAnsi="仿宋" w:eastAsia="仿宋_GB2312" w:cs="宋体"/>
                <w:b/>
                <w:bCs/>
                <w:color w:val="000000"/>
                <w:kern w:val="0"/>
                <w:szCs w:val="21"/>
              </w:rPr>
              <w:t>应用领域：</w:t>
            </w:r>
            <w:r>
              <w:rPr>
                <w:rFonts w:hint="eastAsia" w:ascii="仿宋_GB2312" w:hAnsi="仿宋" w:eastAsia="仿宋_GB2312" w:cs="宋体"/>
                <w:color w:val="000000"/>
                <w:kern w:val="0"/>
                <w:szCs w:val="21"/>
              </w:rPr>
              <w:t>个人防护用品（口罩、长袍、手套）、保健用品、空气净化产品、抗菌纺织品、儿童抗菌产品等。</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衍生公司寻求投资</w:t>
            </w:r>
          </w:p>
        </w:tc>
        <w:tc>
          <w:tcPr>
            <w:tcW w:w="1236" w:type="dxa"/>
            <w:vAlign w:val="center"/>
          </w:tcPr>
          <w:p>
            <w:pPr>
              <w:widowControl/>
              <w:jc w:val="center"/>
              <w:rPr>
                <w:rFonts w:ascii="仿宋" w:hAnsi="仿宋" w:eastAsia="仿宋" w:cs="宋体"/>
                <w:color w:val="000000"/>
                <w:kern w:val="0"/>
                <w:sz w:val="24"/>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11</w:t>
            </w:r>
          </w:p>
        </w:tc>
        <w:tc>
          <w:tcPr>
            <w:tcW w:w="1496" w:type="dxa"/>
            <w:vAlign w:val="center"/>
          </w:tcPr>
          <w:p>
            <w:pPr>
              <w:widowControl/>
              <w:jc w:val="center"/>
              <w:rPr>
                <w:rFonts w:ascii="仿宋_GB2312" w:hAnsi="仿宋" w:eastAsia="仿宋_GB2312" w:cs="宋体"/>
                <w:color w:val="000000"/>
                <w:kern w:val="0"/>
                <w:szCs w:val="21"/>
              </w:rPr>
            </w:pPr>
            <w:r>
              <w:rPr>
                <w:rFonts w:ascii="仿宋_GB2312" w:hAnsi="仿宋" w:eastAsia="仿宋_GB2312" w:cs="宋体"/>
                <w:color w:val="000000"/>
                <w:kern w:val="0"/>
                <w:szCs w:val="21"/>
              </w:rPr>
              <w:t>Neurovalens</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用于治疗失眠和焦虑的无创医疗器械</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Neurovalens</w:t>
            </w:r>
            <w:r>
              <w:rPr>
                <w:rFonts w:hint="eastAsia" w:ascii="仿宋_GB2312" w:hAnsi="仿宋" w:eastAsia="仿宋_GB2312" w:cs="宋体"/>
                <w:color w:val="000000"/>
                <w:kern w:val="0"/>
                <w:szCs w:val="21"/>
              </w:rPr>
              <w:t>是一家英国医疗器械企业，其产品是可用于治疗一系列神经性和代谢性疾病的无创医疗器械，包括失眠、焦虑、</w:t>
            </w:r>
            <w:r>
              <w:rPr>
                <w:rFonts w:ascii="仿宋_GB2312" w:hAnsi="仿宋" w:eastAsia="仿宋_GB2312" w:cs="宋体"/>
                <w:color w:val="000000"/>
                <w:kern w:val="0"/>
                <w:szCs w:val="21"/>
              </w:rPr>
              <w:t>2</w:t>
            </w:r>
            <w:r>
              <w:rPr>
                <w:rFonts w:hint="eastAsia" w:ascii="仿宋_GB2312" w:hAnsi="仿宋" w:eastAsia="仿宋_GB2312" w:cs="宋体"/>
                <w:color w:val="000000"/>
                <w:kern w:val="0"/>
                <w:szCs w:val="21"/>
              </w:rPr>
              <w:t>型糖尿病，和肥胖。今年，</w:t>
            </w:r>
            <w:r>
              <w:rPr>
                <w:rFonts w:ascii="仿宋_GB2312" w:hAnsi="仿宋" w:eastAsia="仿宋_GB2312" w:cs="宋体"/>
                <w:color w:val="000000"/>
                <w:kern w:val="0"/>
                <w:szCs w:val="21"/>
              </w:rPr>
              <w:t>Neurovalens</w:t>
            </w:r>
            <w:r>
              <w:rPr>
                <w:rFonts w:hint="eastAsia" w:ascii="仿宋_GB2312" w:hAnsi="仿宋" w:eastAsia="仿宋_GB2312" w:cs="宋体"/>
                <w:color w:val="000000"/>
                <w:kern w:val="0"/>
                <w:szCs w:val="21"/>
              </w:rPr>
              <w:t>计划在中国市场推出</w:t>
            </w:r>
            <w:r>
              <w:rPr>
                <w:rFonts w:ascii="仿宋_GB2312" w:hAnsi="仿宋" w:eastAsia="仿宋_GB2312" w:cs="宋体"/>
                <w:color w:val="000000"/>
                <w:kern w:val="0"/>
                <w:szCs w:val="21"/>
              </w:rPr>
              <w:t>Modius Sleep</w:t>
            </w:r>
            <w:r>
              <w:rPr>
                <w:rFonts w:hint="eastAsia" w:ascii="仿宋_GB2312" w:hAnsi="仿宋" w:eastAsia="仿宋_GB2312" w:cs="宋体"/>
                <w:color w:val="000000"/>
                <w:kern w:val="0"/>
                <w:szCs w:val="21"/>
              </w:rPr>
              <w:t>和</w:t>
            </w:r>
            <w:r>
              <w:rPr>
                <w:rFonts w:ascii="仿宋_GB2312" w:hAnsi="仿宋" w:eastAsia="仿宋_GB2312" w:cs="宋体"/>
                <w:color w:val="000000"/>
                <w:kern w:val="0"/>
                <w:szCs w:val="21"/>
              </w:rPr>
              <w:t>Modius Stress</w:t>
            </w:r>
            <w:r>
              <w:rPr>
                <w:rFonts w:hint="eastAsia" w:ascii="仿宋_GB2312" w:hAnsi="仿宋" w:eastAsia="仿宋_GB2312" w:cs="宋体"/>
                <w:color w:val="000000"/>
                <w:kern w:val="0"/>
                <w:szCs w:val="21"/>
              </w:rPr>
              <w:t>。这都已经获得美国食品药品管理局的批准（</w:t>
            </w:r>
            <w:r>
              <w:rPr>
                <w:rFonts w:ascii="仿宋_GB2312" w:hAnsi="仿宋" w:eastAsia="仿宋_GB2312" w:cs="宋体"/>
                <w:color w:val="000000"/>
                <w:kern w:val="0"/>
                <w:szCs w:val="21"/>
              </w:rPr>
              <w:t>510k</w:t>
            </w:r>
            <w:r>
              <w:rPr>
                <w:rFonts w:hint="eastAsia" w:ascii="仿宋_GB2312" w:hAnsi="仿宋" w:eastAsia="仿宋_GB2312" w:cs="宋体"/>
                <w:color w:val="000000"/>
                <w:kern w:val="0"/>
                <w:szCs w:val="21"/>
              </w:rPr>
              <w:t>待定），通过将电刺激传送至大脑（每天</w:t>
            </w:r>
            <w:r>
              <w:rPr>
                <w:rFonts w:ascii="仿宋_GB2312" w:hAnsi="仿宋" w:eastAsia="仿宋_GB2312" w:cs="宋体"/>
                <w:color w:val="000000"/>
                <w:kern w:val="0"/>
                <w:szCs w:val="21"/>
              </w:rPr>
              <w:t>30</w:t>
            </w:r>
            <w:r>
              <w:rPr>
                <w:rFonts w:hint="eastAsia" w:ascii="仿宋_GB2312" w:hAnsi="仿宋" w:eastAsia="仿宋_GB2312" w:cs="宋体"/>
                <w:color w:val="000000"/>
                <w:kern w:val="0"/>
                <w:szCs w:val="21"/>
              </w:rPr>
              <w:t>分钟）达到治疗失眠和焦虑的目的。</w:t>
            </w:r>
          </w:p>
        </w:tc>
        <w:tc>
          <w:tcPr>
            <w:tcW w:w="2749" w:type="dxa"/>
            <w:vAlign w:val="center"/>
          </w:tcPr>
          <w:p>
            <w:pPr>
              <w:widowControl/>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希望能够寻找医疗器械合作伙伴，作为产品的经销商，将产品供给药房、医院，和诊所，以及将产品通过电商平台在中国进行销售。</w:t>
            </w:r>
          </w:p>
        </w:tc>
        <w:tc>
          <w:tcPr>
            <w:tcW w:w="1236" w:type="dxa"/>
            <w:vAlign w:val="center"/>
          </w:tcPr>
          <w:p>
            <w:pPr>
              <w:widowControl/>
              <w:jc w:val="center"/>
              <w:rPr>
                <w:rFonts w:ascii="仿宋" w:hAnsi="仿宋" w:eastAsia="仿宋" w:cs="宋体"/>
                <w:color w:val="000000"/>
                <w:kern w:val="0"/>
                <w:sz w:val="24"/>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53" w:type="dxa"/>
            <w:vAlign w:val="center"/>
          </w:tcPr>
          <w:p>
            <w:pPr>
              <w:jc w:val="center"/>
              <w:rPr>
                <w:rFonts w:ascii="Courier New" w:hAnsi="Courier New"/>
              </w:rPr>
            </w:pPr>
            <w:r>
              <w:rPr>
                <w:rFonts w:ascii="Courier New" w:hAnsi="Courier New"/>
              </w:rPr>
              <w:t>12</w:t>
            </w:r>
          </w:p>
        </w:tc>
        <w:tc>
          <w:tcPr>
            <w:tcW w:w="1496" w:type="dxa"/>
            <w:vAlign w:val="center"/>
          </w:tcPr>
          <w:p>
            <w:pPr>
              <w:widowControl/>
              <w:jc w:val="center"/>
              <w:rPr>
                <w:rFonts w:ascii="仿宋_GB2312" w:hAnsi="仿宋" w:eastAsia="仿宋_GB2312" w:cs="宋体"/>
                <w:color w:val="000000"/>
                <w:kern w:val="0"/>
                <w:szCs w:val="21"/>
              </w:rPr>
            </w:pPr>
            <w:r>
              <w:rPr>
                <w:rFonts w:ascii="仿宋_GB2312" w:hAnsi="仿宋" w:eastAsia="仿宋_GB2312" w:cs="宋体"/>
                <w:color w:val="000000"/>
                <w:kern w:val="0"/>
                <w:szCs w:val="21"/>
              </w:rPr>
              <w:t>UK-Medu</w:t>
            </w:r>
          </w:p>
        </w:tc>
        <w:tc>
          <w:tcPr>
            <w:tcW w:w="8641" w:type="dxa"/>
            <w:vAlign w:val="bottom"/>
          </w:tcPr>
          <w:p>
            <w:pPr>
              <w:widowControl/>
              <w:jc w:val="left"/>
              <w:rPr>
                <w:rFonts w:ascii="仿宋_GB2312" w:hAnsi="仿宋" w:eastAsia="仿宋_GB2312" w:cs="宋体"/>
                <w:b/>
                <w:bCs/>
                <w:color w:val="000000"/>
                <w:kern w:val="0"/>
                <w:szCs w:val="21"/>
              </w:rPr>
            </w:pPr>
            <w:r>
              <w:rPr>
                <w:rFonts w:ascii="仿宋_GB2312" w:hAnsi="仿宋" w:eastAsia="仿宋_GB2312" w:cs="宋体"/>
                <w:b/>
                <w:bCs/>
                <w:color w:val="000000"/>
                <w:kern w:val="0"/>
                <w:szCs w:val="21"/>
              </w:rPr>
              <w:t>LIPOCELL</w:t>
            </w:r>
            <w:r>
              <w:rPr>
                <w:rFonts w:hint="eastAsia" w:ascii="仿宋_GB2312" w:hAnsi="仿宋" w:eastAsia="仿宋_GB2312" w:cs="宋体"/>
                <w:b/>
                <w:bCs/>
                <w:color w:val="000000"/>
                <w:kern w:val="0"/>
                <w:szCs w:val="21"/>
              </w:rPr>
              <w:t>脂肪处理系统</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LIPOCELL</w:t>
            </w:r>
            <w:r>
              <w:rPr>
                <w:rFonts w:hint="eastAsia" w:ascii="仿宋_GB2312" w:hAnsi="仿宋" w:eastAsia="仿宋_GB2312" w:cs="宋体"/>
                <w:color w:val="000000"/>
                <w:kern w:val="0"/>
                <w:szCs w:val="21"/>
              </w:rPr>
              <w:t>是一种能够增强脂肪组织生物学特性的技术。可将脂肪组织与其中的废物杂质</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如血液及油滴</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分离开来，去除含促炎因子的血液和油脂残留。</w:t>
            </w:r>
            <w:r>
              <w:rPr>
                <w:rFonts w:ascii="仿宋_GB2312" w:hAnsi="仿宋" w:eastAsia="仿宋_GB2312" w:cs="宋体"/>
                <w:color w:val="000000"/>
                <w:kern w:val="0"/>
                <w:szCs w:val="21"/>
              </w:rPr>
              <w:t>LIPOCELL</w:t>
            </w:r>
            <w:r>
              <w:rPr>
                <w:rFonts w:hint="eastAsia" w:ascii="仿宋_GB2312" w:hAnsi="仿宋" w:eastAsia="仿宋_GB2312" w:cs="宋体"/>
                <w:color w:val="000000"/>
                <w:kern w:val="0"/>
                <w:szCs w:val="21"/>
              </w:rPr>
              <w:t>使用创新技术，可进行抽吸，加工和自体移植纯化的脂肪组织。该处理涉及在洗涤步骤中将脂肪组织无创伤地悬浮在表面过滤器上。与市场上现有的系统不同，该程序不包括任何创伤性或破坏性作用，例如离心或酶处理，可确保保存脂肪组织的血管基质壁，其中脂肪组织包含具有不变的生化特性的不同细胞群。</w:t>
            </w:r>
            <w:r>
              <w:rPr>
                <w:rFonts w:ascii="仿宋_GB2312" w:hAnsi="仿宋" w:eastAsia="仿宋_GB2312" w:cs="宋体"/>
                <w:color w:val="000000"/>
                <w:kern w:val="0"/>
                <w:szCs w:val="21"/>
              </w:rPr>
              <w:t>LIPOCELL</w:t>
            </w:r>
            <w:r>
              <w:rPr>
                <w:rFonts w:hint="eastAsia" w:ascii="仿宋_GB2312" w:hAnsi="仿宋" w:eastAsia="仿宋_GB2312" w:cs="宋体"/>
                <w:color w:val="000000"/>
                <w:kern w:val="0"/>
                <w:szCs w:val="21"/>
              </w:rPr>
              <w:t>遵循最小操作的原则，可确保获得富含重要自体间充质细胞并从促炎性血液和油性残留物中完全纯化的脂肪组织。该处理系统完全在无菌区域进行因此可将污染风险降到最低，同时该设备可以满足细胞与组织最小限度的操作要求，且操作过程简单，在不同的治疗领域均通用。</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销售</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授权</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技术合作可谈</w:t>
            </w:r>
          </w:p>
        </w:tc>
        <w:tc>
          <w:tcPr>
            <w:tcW w:w="1236" w:type="dxa"/>
            <w:vAlign w:val="center"/>
          </w:tcPr>
          <w:p>
            <w:pPr>
              <w:widowControl/>
              <w:jc w:val="center"/>
              <w:rPr>
                <w:rFonts w:ascii="仿宋" w:hAnsi="仿宋" w:eastAsia="仿宋" w:cs="宋体"/>
                <w:color w:val="000000"/>
                <w:kern w:val="0"/>
                <w:sz w:val="24"/>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13</w:t>
            </w:r>
          </w:p>
        </w:tc>
        <w:tc>
          <w:tcPr>
            <w:tcW w:w="1496" w:type="dxa"/>
            <w:vAlign w:val="center"/>
          </w:tcPr>
          <w:p>
            <w:pPr>
              <w:widowControl/>
              <w:jc w:val="center"/>
              <w:rPr>
                <w:rFonts w:ascii="仿宋_GB2312" w:hAnsi="仿宋" w:eastAsia="仿宋_GB2312" w:cs="宋体"/>
                <w:color w:val="000000"/>
                <w:kern w:val="0"/>
                <w:szCs w:val="21"/>
              </w:rPr>
            </w:pPr>
            <w:r>
              <w:rPr>
                <w:rFonts w:ascii="仿宋_GB2312" w:hAnsi="仿宋" w:eastAsia="仿宋_GB2312" w:cs="宋体"/>
                <w:color w:val="000000"/>
                <w:kern w:val="0"/>
                <w:szCs w:val="21"/>
              </w:rPr>
              <w:t>UK-Medu</w:t>
            </w:r>
          </w:p>
        </w:tc>
        <w:tc>
          <w:tcPr>
            <w:tcW w:w="8641" w:type="dxa"/>
            <w:vAlign w:val="bottom"/>
          </w:tcPr>
          <w:p>
            <w:pPr>
              <w:widowControl/>
              <w:jc w:val="left"/>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“个人发现过程（</w:t>
            </w:r>
            <w:r>
              <w:rPr>
                <w:rFonts w:ascii="仿宋_GB2312" w:hAnsi="仿宋" w:eastAsia="仿宋_GB2312" w:cs="宋体"/>
                <w:b/>
                <w:bCs/>
                <w:color w:val="000000"/>
                <w:kern w:val="0"/>
                <w:szCs w:val="21"/>
              </w:rPr>
              <w:t>PDP</w:t>
            </w:r>
            <w:r>
              <w:rPr>
                <w:rFonts w:hint="eastAsia" w:ascii="仿宋_GB2312" w:hAnsi="仿宋" w:eastAsia="仿宋_GB2312" w:cs="宋体"/>
                <w:b/>
                <w:bCs/>
                <w:color w:val="000000"/>
                <w:kern w:val="0"/>
                <w:szCs w:val="21"/>
              </w:rPr>
              <w:t>）”</w:t>
            </w:r>
            <w:r>
              <w:rPr>
                <w:rFonts w:ascii="仿宋_GB2312" w:hAnsi="仿宋" w:eastAsia="仿宋_GB2312" w:cs="宋体"/>
                <w:b/>
                <w:bCs/>
                <w:color w:val="000000"/>
                <w:kern w:val="0"/>
                <w:szCs w:val="21"/>
              </w:rPr>
              <w:t>--</w:t>
            </w:r>
            <w:r>
              <w:rPr>
                <w:rFonts w:hint="eastAsia" w:ascii="仿宋_GB2312" w:hAnsi="仿宋" w:eastAsia="仿宋_GB2312" w:cs="宋体"/>
                <w:b/>
                <w:bCs/>
                <w:color w:val="000000"/>
                <w:kern w:val="0"/>
                <w:szCs w:val="21"/>
              </w:rPr>
              <w:t>我的个人治疗</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量身定做癌症治疗方案</w:t>
            </w:r>
            <w:r>
              <w:rPr>
                <w:rFonts w:ascii="仿宋_GB2312" w:hAnsi="仿宋" w:eastAsia="仿宋_GB2312" w:cs="宋体"/>
                <w:color w:val="000000"/>
                <w:kern w:val="0"/>
                <w:szCs w:val="21"/>
              </w:rPr>
              <w:t>)</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这项技术被称为“个人发现过程（</w:t>
            </w:r>
            <w:r>
              <w:rPr>
                <w:rFonts w:ascii="仿宋_GB2312" w:hAnsi="仿宋" w:eastAsia="仿宋_GB2312" w:cs="宋体"/>
                <w:color w:val="000000"/>
                <w:kern w:val="0"/>
                <w:szCs w:val="21"/>
              </w:rPr>
              <w:t>PDP</w:t>
            </w:r>
            <w:r>
              <w:rPr>
                <w:rFonts w:hint="eastAsia" w:ascii="仿宋_GB2312" w:hAnsi="仿宋" w:eastAsia="仿宋_GB2312" w:cs="宋体"/>
                <w:color w:val="000000"/>
                <w:kern w:val="0"/>
                <w:szCs w:val="21"/>
              </w:rPr>
              <w:t>）”，基于纽约西奈山医学院首创技术的个性化癌症疗法，旨在有效解决肿瘤患者对单药治疗的耐药性。</w:t>
            </w:r>
            <w:r>
              <w:rPr>
                <w:rFonts w:ascii="仿宋_GB2312" w:hAnsi="仿宋" w:eastAsia="仿宋_GB2312" w:cs="宋体"/>
                <w:color w:val="000000"/>
                <w:kern w:val="0"/>
                <w:szCs w:val="21"/>
              </w:rPr>
              <w:t>PDP</w:t>
            </w:r>
            <w:r>
              <w:rPr>
                <w:rFonts w:hint="eastAsia" w:ascii="仿宋_GB2312" w:hAnsi="仿宋" w:eastAsia="仿宋_GB2312" w:cs="宋体"/>
                <w:color w:val="000000"/>
                <w:kern w:val="0"/>
                <w:szCs w:val="21"/>
              </w:rPr>
              <w:t>可针对肿瘤患者个体的独特遗传复杂性，鉴定出对患者具有最佳作用的精确药物组合，是肿瘤学家和制药业强大的决策工具。</w:t>
            </w:r>
            <w:r>
              <w:rPr>
                <w:rFonts w:ascii="仿宋_GB2312" w:hAnsi="仿宋" w:eastAsia="仿宋_GB2312" w:cs="宋体"/>
                <w:color w:val="000000"/>
                <w:kern w:val="0"/>
                <w:szCs w:val="21"/>
              </w:rPr>
              <w:t>PDP</w:t>
            </w:r>
            <w:r>
              <w:rPr>
                <w:rFonts w:hint="eastAsia" w:ascii="仿宋_GB2312" w:hAnsi="仿宋" w:eastAsia="仿宋_GB2312" w:cs="宋体"/>
                <w:color w:val="000000"/>
                <w:kern w:val="0"/>
                <w:szCs w:val="21"/>
              </w:rPr>
              <w:t>依据每个患者的肿瘤异质性，设计出由一支</w:t>
            </w:r>
            <w:r>
              <w:rPr>
                <w:rFonts w:ascii="仿宋_GB2312" w:hAnsi="仿宋" w:eastAsia="仿宋_GB2312" w:cs="宋体"/>
                <w:color w:val="000000"/>
                <w:kern w:val="0"/>
                <w:szCs w:val="21"/>
              </w:rPr>
              <w:t>40</w:t>
            </w:r>
            <w:r>
              <w:rPr>
                <w:rFonts w:hint="eastAsia" w:ascii="仿宋_GB2312" w:hAnsi="仿宋" w:eastAsia="仿宋_GB2312" w:cs="宋体"/>
                <w:color w:val="000000"/>
                <w:kern w:val="0"/>
                <w:szCs w:val="21"/>
              </w:rPr>
              <w:t>万果蝇组成的“化身”。然后评估</w:t>
            </w:r>
            <w:r>
              <w:rPr>
                <w:rFonts w:ascii="仿宋_GB2312" w:hAnsi="仿宋" w:eastAsia="仿宋_GB2312" w:cs="宋体"/>
                <w:color w:val="000000"/>
                <w:kern w:val="0"/>
                <w:szCs w:val="21"/>
              </w:rPr>
              <w:t>2000</w:t>
            </w:r>
            <w:r>
              <w:rPr>
                <w:rFonts w:hint="eastAsia" w:ascii="仿宋_GB2312" w:hAnsi="仿宋" w:eastAsia="仿宋_GB2312" w:cs="宋体"/>
                <w:color w:val="000000"/>
                <w:kern w:val="0"/>
                <w:szCs w:val="21"/>
              </w:rPr>
              <w:t>种</w:t>
            </w:r>
            <w:r>
              <w:rPr>
                <w:rFonts w:ascii="仿宋_GB2312" w:hAnsi="仿宋" w:eastAsia="仿宋_GB2312" w:cs="宋体"/>
                <w:color w:val="000000"/>
                <w:kern w:val="0"/>
                <w:szCs w:val="21"/>
              </w:rPr>
              <w:t>FDA</w:t>
            </w:r>
            <w:r>
              <w:rPr>
                <w:rFonts w:hint="eastAsia" w:ascii="仿宋_GB2312" w:hAnsi="仿宋" w:eastAsia="仿宋_GB2312" w:cs="宋体"/>
                <w:color w:val="000000"/>
                <w:kern w:val="0"/>
                <w:szCs w:val="21"/>
              </w:rPr>
              <w:t>批准的药物，包括非癌症药物，以识别对患者有效、毒性更小、价格更实惠的药物组合。由于肿瘤带有多个突变，其他模型（例如小鼠）受限不能用于表示多个突变。而苍蝇是唯一可用来反映癌症全部信息的动物模型，是目前唯一可在活体生物系统中复制患者肿瘤信息的技术。一天之内就可在个性化的果蝇“化身”上筛选出成千上万种药物组合。由于组合包括抗癌药和非抗癌药，因此毒性更小，价格更便宜。</w:t>
            </w:r>
          </w:p>
        </w:tc>
        <w:tc>
          <w:tcPr>
            <w:tcW w:w="2749" w:type="dxa"/>
            <w:vAlign w:val="center"/>
          </w:tcPr>
          <w:p>
            <w:pPr>
              <w:widowControl/>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投资，寻求战略合作伙伴，为癌症患者</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医疗中心</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学术机构提供服务</w:t>
            </w:r>
          </w:p>
        </w:tc>
        <w:tc>
          <w:tcPr>
            <w:tcW w:w="1236" w:type="dxa"/>
            <w:vAlign w:val="center"/>
          </w:tcPr>
          <w:p>
            <w:pPr>
              <w:widowControl/>
              <w:jc w:val="center"/>
              <w:rPr>
                <w:rFonts w:ascii="仿宋" w:hAnsi="仿宋" w:eastAsia="仿宋" w:cs="宋体"/>
                <w:color w:val="000000"/>
                <w:kern w:val="0"/>
                <w:sz w:val="24"/>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14</w:t>
            </w:r>
          </w:p>
        </w:tc>
        <w:tc>
          <w:tcPr>
            <w:tcW w:w="1496" w:type="dxa"/>
            <w:vAlign w:val="center"/>
          </w:tcPr>
          <w:p>
            <w:pPr>
              <w:widowControl/>
              <w:jc w:val="center"/>
              <w:rPr>
                <w:rFonts w:ascii="仿宋_GB2312" w:hAnsi="仿宋" w:eastAsia="仿宋_GB2312" w:cs="宋体"/>
                <w:color w:val="000000"/>
                <w:kern w:val="0"/>
                <w:szCs w:val="21"/>
              </w:rPr>
            </w:pPr>
            <w:r>
              <w:rPr>
                <w:rFonts w:ascii="仿宋_GB2312" w:hAnsi="仿宋" w:eastAsia="仿宋_GB2312" w:cs="宋体"/>
                <w:color w:val="000000"/>
                <w:kern w:val="0"/>
                <w:szCs w:val="21"/>
              </w:rPr>
              <w:t>UK-Medu</w:t>
            </w:r>
          </w:p>
        </w:tc>
        <w:tc>
          <w:tcPr>
            <w:tcW w:w="8641" w:type="dxa"/>
            <w:vAlign w:val="bottom"/>
          </w:tcPr>
          <w:p>
            <w:pPr>
              <w:widowControl/>
              <w:jc w:val="left"/>
              <w:rPr>
                <w:rFonts w:ascii="仿宋_GB2312" w:hAnsi="仿宋" w:eastAsia="仿宋_GB2312" w:cs="宋体"/>
                <w:b/>
                <w:bCs/>
                <w:color w:val="000000"/>
                <w:kern w:val="0"/>
                <w:szCs w:val="21"/>
              </w:rPr>
            </w:pPr>
            <w:r>
              <w:rPr>
                <w:rFonts w:ascii="仿宋_GB2312" w:hAnsi="仿宋" w:eastAsia="仿宋_GB2312" w:cs="宋体"/>
                <w:b/>
                <w:bCs/>
                <w:color w:val="000000"/>
                <w:kern w:val="0"/>
                <w:szCs w:val="21"/>
              </w:rPr>
              <w:t>Applied Biotech</w:t>
            </w:r>
            <w:r>
              <w:rPr>
                <w:rFonts w:hint="eastAsia" w:ascii="仿宋_GB2312" w:hAnsi="仿宋" w:eastAsia="仿宋_GB2312" w:cs="宋体"/>
                <w:b/>
                <w:bCs/>
                <w:color w:val="000000"/>
                <w:kern w:val="0"/>
                <w:szCs w:val="21"/>
              </w:rPr>
              <w:t>新型早期癌症检测</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革命性的早期癌症检测和诊断。</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TEVIPLEX</w:t>
            </w:r>
            <w:r>
              <w:rPr>
                <w:rFonts w:hint="eastAsia" w:ascii="仿宋_GB2312" w:hAnsi="仿宋" w:eastAsia="仿宋_GB2312" w:cs="宋体"/>
                <w:color w:val="000000"/>
                <w:kern w:val="0"/>
                <w:szCs w:val="21"/>
              </w:rPr>
              <w:t>技术</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测试创新：高度敏感的液体活检（血液测试）：</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通过无创血液测试减少检测费用。</w:t>
            </w:r>
            <w:r>
              <w:rPr>
                <w:rFonts w:ascii="仿宋_GB2312" w:hAnsi="仿宋" w:eastAsia="仿宋_GB2312" w:cs="宋体"/>
                <w:color w:val="000000"/>
                <w:kern w:val="0"/>
                <w:szCs w:val="21"/>
              </w:rPr>
              <w:t xml:space="preserve"> </w:t>
            </w:r>
            <w:r>
              <w:rPr>
                <w:rFonts w:hint="eastAsia" w:ascii="仿宋_GB2312" w:hAnsi="仿宋" w:eastAsia="仿宋_GB2312" w:cs="宋体"/>
                <w:color w:val="000000"/>
                <w:kern w:val="0"/>
                <w:szCs w:val="21"/>
              </w:rPr>
              <w:t>通过早期发现提高了生存率。</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个性化测试可以使用客观的数字结果检测并分析多种癌症类型，从而为个别患者提供最佳的癌症治疗方法。</w:t>
            </w:r>
          </w:p>
          <w:p>
            <w:pPr>
              <w:widowControl/>
              <w:jc w:val="left"/>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在整个治疗过程中，通过进行持续的血液测试来监测癌症生命周期，以确保治疗效果并检测复发。</w:t>
            </w:r>
          </w:p>
        </w:tc>
        <w:tc>
          <w:tcPr>
            <w:tcW w:w="2749"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投资、分销商</w:t>
            </w:r>
          </w:p>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研发合作伙伴等</w:t>
            </w:r>
          </w:p>
        </w:tc>
        <w:tc>
          <w:tcPr>
            <w:tcW w:w="1236" w:type="dxa"/>
            <w:vAlign w:val="center"/>
          </w:tcPr>
          <w:p>
            <w:pPr>
              <w:widowControl/>
              <w:jc w:val="center"/>
              <w:rPr>
                <w:rFonts w:ascii="仿宋" w:hAnsi="仿宋" w:eastAsia="仿宋" w:cs="宋体"/>
                <w:color w:val="000000"/>
                <w:kern w:val="0"/>
                <w:sz w:val="24"/>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7"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15</w:t>
            </w:r>
          </w:p>
        </w:tc>
        <w:tc>
          <w:tcPr>
            <w:tcW w:w="1496" w:type="dxa"/>
            <w:vAlign w:val="center"/>
          </w:tcPr>
          <w:p>
            <w:pPr>
              <w:widowControl/>
              <w:jc w:val="center"/>
              <w:rPr>
                <w:rFonts w:ascii="仿宋_GB2312" w:hAnsi="仿宋" w:eastAsia="仿宋_GB2312" w:cs="宋体"/>
                <w:color w:val="000000"/>
                <w:kern w:val="0"/>
                <w:szCs w:val="21"/>
              </w:rPr>
            </w:pPr>
            <w:r>
              <w:rPr>
                <w:rFonts w:ascii="仿宋_GB2312" w:hAnsi="仿宋" w:eastAsia="仿宋_GB2312" w:cs="宋体"/>
                <w:color w:val="000000"/>
                <w:kern w:val="0"/>
                <w:szCs w:val="21"/>
              </w:rPr>
              <w:t>Spirit Health Group</w:t>
            </w:r>
          </w:p>
        </w:tc>
        <w:tc>
          <w:tcPr>
            <w:tcW w:w="8641" w:type="dxa"/>
          </w:tcPr>
          <w:p>
            <w:pPr>
              <w:widowControl/>
              <w:rPr>
                <w:rFonts w:ascii="仿宋_GB2312" w:hAnsi="仿宋" w:eastAsia="仿宋_GB2312" w:cs="宋体"/>
                <w:b/>
                <w:bCs/>
                <w:color w:val="000000"/>
                <w:kern w:val="0"/>
                <w:szCs w:val="21"/>
              </w:rPr>
            </w:pPr>
            <w:r>
              <w:rPr>
                <w:rFonts w:ascii="仿宋_GB2312" w:hAnsi="仿宋" w:eastAsia="仿宋_GB2312" w:cs="宋体"/>
                <w:b/>
                <w:bCs/>
                <w:color w:val="000000"/>
                <w:kern w:val="0"/>
                <w:szCs w:val="21"/>
              </w:rPr>
              <w:t>CliniTouch Vie</w:t>
            </w:r>
            <w:r>
              <w:rPr>
                <w:rFonts w:hint="eastAsia" w:ascii="仿宋_GB2312" w:hAnsi="仿宋" w:eastAsia="仿宋_GB2312" w:cs="宋体"/>
                <w:b/>
                <w:bCs/>
                <w:color w:val="000000"/>
                <w:kern w:val="0"/>
                <w:szCs w:val="21"/>
              </w:rPr>
              <w:t>数字医疗平台</w:t>
            </w:r>
          </w:p>
          <w:p>
            <w:pPr>
              <w:widowControl/>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我们的数字医疗平台，</w:t>
            </w:r>
            <w:r>
              <w:rPr>
                <w:rFonts w:ascii="仿宋_GB2312" w:hAnsi="仿宋" w:eastAsia="仿宋_GB2312" w:cs="宋体"/>
                <w:color w:val="000000"/>
                <w:kern w:val="0"/>
                <w:szCs w:val="21"/>
              </w:rPr>
              <w:t>CliniTouch Vie</w:t>
            </w:r>
            <w:r>
              <w:rPr>
                <w:rFonts w:hint="eastAsia" w:ascii="仿宋_GB2312" w:hAnsi="仿宋" w:eastAsia="仿宋_GB2312" w:cs="宋体"/>
                <w:color w:val="000000"/>
                <w:kern w:val="0"/>
                <w:szCs w:val="21"/>
              </w:rPr>
              <w:t>，使用远程患者监控技术，为患者提供针对慢性病管理和教育资源的全天候</w:t>
            </w:r>
            <w:r>
              <w:rPr>
                <w:rFonts w:ascii="仿宋_GB2312" w:hAnsi="仿宋" w:eastAsia="仿宋_GB2312" w:cs="宋体"/>
                <w:color w:val="000000"/>
                <w:kern w:val="0"/>
                <w:szCs w:val="21"/>
              </w:rPr>
              <w:t>24</w:t>
            </w:r>
            <w:r>
              <w:rPr>
                <w:rFonts w:hint="eastAsia" w:ascii="仿宋_GB2312" w:hAnsi="仿宋" w:eastAsia="仿宋_GB2312" w:cs="宋体"/>
                <w:color w:val="000000"/>
                <w:kern w:val="0"/>
                <w:szCs w:val="21"/>
              </w:rPr>
              <w:t>小时可及的虚拟诊所，只需要居家使用移动设备即可享受这个技术。</w:t>
            </w:r>
          </w:p>
          <w:p>
            <w:pPr>
              <w:widowControl/>
              <w:rPr>
                <w:rFonts w:ascii="仿宋_GB2312" w:hAnsi="仿宋" w:eastAsia="仿宋_GB2312" w:cs="宋体"/>
                <w:color w:val="000000"/>
                <w:kern w:val="0"/>
                <w:szCs w:val="21"/>
              </w:rPr>
            </w:pPr>
            <w:r>
              <w:rPr>
                <w:rFonts w:hint="eastAsia" w:ascii="仿宋_GB2312" w:hAnsi="仿宋" w:eastAsia="仿宋_GB2312" w:cs="宋体"/>
                <w:color w:val="000000"/>
                <w:kern w:val="0"/>
                <w:szCs w:val="21"/>
              </w:rPr>
              <w:t>临床医生可以实时了解到情况最危险的患者，这个增强型系统可以监测关键指标，计算风险数值，对潜在病情恶化情况提供预警，并提供干预数据，达到先发制人的效果。</w:t>
            </w:r>
          </w:p>
        </w:tc>
        <w:tc>
          <w:tcPr>
            <w:tcW w:w="2749" w:type="dxa"/>
            <w:vAlign w:val="center"/>
          </w:tcPr>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1.</w:t>
            </w:r>
            <w:r>
              <w:rPr>
                <w:rFonts w:hint="eastAsia" w:ascii="仿宋_GB2312" w:hAnsi="仿宋" w:eastAsia="仿宋_GB2312" w:cs="宋体"/>
                <w:color w:val="000000"/>
                <w:kern w:val="0"/>
                <w:szCs w:val="21"/>
              </w:rPr>
              <w:t>与企业形成战略合作伙伴关系，用已经进入市场的</w:t>
            </w:r>
            <w:r>
              <w:rPr>
                <w:rFonts w:ascii="仿宋_GB2312" w:hAnsi="仿宋" w:eastAsia="仿宋_GB2312" w:cs="宋体"/>
                <w:color w:val="000000"/>
                <w:kern w:val="0"/>
                <w:szCs w:val="21"/>
              </w:rPr>
              <w:t>CliniTouch Vie</w:t>
            </w:r>
            <w:r>
              <w:rPr>
                <w:rFonts w:hint="eastAsia" w:ascii="仿宋_GB2312" w:hAnsi="仿宋" w:eastAsia="仿宋_GB2312" w:cs="宋体"/>
                <w:color w:val="000000"/>
                <w:kern w:val="0"/>
                <w:szCs w:val="21"/>
              </w:rPr>
              <w:t>（针对慢阻肺、心脏衰竭、心肺康复、新冠肺炎康复等）开展试点项目</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2.</w:t>
            </w:r>
            <w:r>
              <w:rPr>
                <w:rFonts w:hint="eastAsia" w:ascii="仿宋_GB2312" w:hAnsi="仿宋" w:eastAsia="仿宋_GB2312" w:cs="宋体"/>
                <w:color w:val="000000"/>
                <w:kern w:val="0"/>
                <w:szCs w:val="21"/>
              </w:rPr>
              <w:t>为医院和医疗服务提供商提供支持，将康复或者患者教育转化为数字化形式</w:t>
            </w:r>
          </w:p>
          <w:p>
            <w:pPr>
              <w:widowControl/>
              <w:jc w:val="left"/>
              <w:rPr>
                <w:rFonts w:ascii="仿宋_GB2312" w:hAnsi="仿宋" w:eastAsia="仿宋_GB2312" w:cs="宋体"/>
                <w:color w:val="000000"/>
                <w:kern w:val="0"/>
                <w:szCs w:val="21"/>
              </w:rPr>
            </w:pPr>
            <w:r>
              <w:rPr>
                <w:rFonts w:ascii="仿宋_GB2312" w:hAnsi="仿宋" w:eastAsia="仿宋_GB2312" w:cs="宋体"/>
                <w:color w:val="000000"/>
                <w:kern w:val="0"/>
                <w:szCs w:val="21"/>
              </w:rPr>
              <w:t>3.</w:t>
            </w:r>
            <w:r>
              <w:rPr>
                <w:rFonts w:hint="eastAsia" w:ascii="仿宋_GB2312" w:hAnsi="仿宋" w:eastAsia="仿宋_GB2312" w:cs="宋体"/>
                <w:color w:val="000000"/>
                <w:kern w:val="0"/>
                <w:szCs w:val="21"/>
              </w:rPr>
              <w:t>与医疗服务提供商进行合作，开发新的临床路径（肿瘤、妇产等）</w:t>
            </w:r>
          </w:p>
          <w:p>
            <w:pPr>
              <w:widowControl/>
              <w:jc w:val="left"/>
              <w:rPr>
                <w:kern w:val="0"/>
              </w:rPr>
            </w:pPr>
            <w:r>
              <w:rPr>
                <w:rFonts w:ascii="仿宋_GB2312" w:hAnsi="仿宋" w:eastAsia="仿宋_GB2312" w:cs="宋体"/>
                <w:color w:val="000000"/>
                <w:kern w:val="0"/>
                <w:szCs w:val="21"/>
              </w:rPr>
              <w:t>4.</w:t>
            </w:r>
            <w:r>
              <w:rPr>
                <w:rFonts w:hint="eastAsia" w:ascii="仿宋_GB2312" w:hAnsi="仿宋" w:eastAsia="仿宋_GB2312" w:cs="宋体"/>
                <w:color w:val="000000"/>
                <w:kern w:val="0"/>
                <w:szCs w:val="21"/>
              </w:rPr>
              <w:t>由我们的临床和项目组主导，与本地的临床医生和相关方合作，重新设计临床路径</w:t>
            </w:r>
          </w:p>
        </w:tc>
        <w:tc>
          <w:tcPr>
            <w:tcW w:w="1236" w:type="dxa"/>
            <w:vAlign w:val="center"/>
          </w:tcPr>
          <w:p>
            <w:pPr>
              <w:widowControl/>
              <w:jc w:val="center"/>
              <w:rPr>
                <w:rFonts w:ascii="仿宋" w:hAnsi="仿宋" w:eastAsia="仿宋" w:cs="宋体"/>
                <w:color w:val="000000"/>
                <w:kern w:val="0"/>
                <w:sz w:val="24"/>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7"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16</w:t>
            </w:r>
          </w:p>
        </w:tc>
        <w:tc>
          <w:tcPr>
            <w:tcW w:w="1496" w:type="dxa"/>
            <w:vAlign w:val="center"/>
          </w:tcPr>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英国年轻化</w:t>
            </w:r>
          </w:p>
          <w:p>
            <w:pPr>
              <w:widowControl/>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医学中心</w:t>
            </w:r>
          </w:p>
        </w:tc>
        <w:tc>
          <w:tcPr>
            <w:tcW w:w="8641" w:type="dxa"/>
            <w:vAlign w:val="bottom"/>
          </w:tcPr>
          <w:p>
            <w:pPr>
              <w:widowControl/>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基于深度学习技术的等离子抗衰设备</w:t>
            </w:r>
          </w:p>
          <w:p>
            <w:pPr>
              <w:widowControl/>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来自于英国、美国和澳大利亚的医学、光学和人工智能专家和院士联合在一起，开发一款目前唯一能在眼周替代拉皮手术、并获得良好益处的非手术治疗设备。</w:t>
            </w:r>
          </w:p>
          <w:p>
            <w:pPr>
              <w:widowControl/>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设备通过精确测定皮肤风险因素，并通过基于深度学习技术的人工智能专家决策系统，用精确可调的等离子智能手柄针对中重度衰老实施高度安全治疗。设备在强效抗衰的同时，可有效消除色素沉着、视力损伤和遗留疤痕等市场现有设备的常见副作用，并可替代损伤性很大的手术治疗。除医美抗衰之外，本项目研发的设备也可以用于治疗棘手的瘢痕疙瘩，并可在门诊环境下非手术处理一系列原本需要动刀手术的眼科肿物切除、皮肤肿物切除、牙龈增生切除、生殖整形和外伤治疗等。设备的人工智能专家决策系统可在使用中通过深度学习不断自我迭代升级，持续性提升治疗的安全性和效果。项目已完成理论论证工作，并获中国政府</w:t>
            </w:r>
            <w:r>
              <w:rPr>
                <w:rFonts w:ascii="仿宋_GB2312" w:hAnsi="仿宋" w:eastAsia="仿宋_GB2312" w:cs="宋体"/>
                <w:color w:val="000000"/>
                <w:kern w:val="0"/>
                <w:szCs w:val="21"/>
              </w:rPr>
              <w:t>750</w:t>
            </w:r>
            <w:r>
              <w:rPr>
                <w:rFonts w:hint="eastAsia" w:ascii="仿宋_GB2312" w:hAnsi="仿宋" w:eastAsia="仿宋_GB2312" w:cs="宋体"/>
                <w:color w:val="000000"/>
                <w:kern w:val="0"/>
                <w:szCs w:val="21"/>
              </w:rPr>
              <w:t>万资助。</w:t>
            </w:r>
          </w:p>
        </w:tc>
        <w:tc>
          <w:tcPr>
            <w:tcW w:w="2749" w:type="dxa"/>
            <w:vAlign w:val="center"/>
          </w:tcPr>
          <w:p>
            <w:pPr>
              <w:widowControl/>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目前需融资</w:t>
            </w:r>
            <w:r>
              <w:rPr>
                <w:rFonts w:ascii="仿宋_GB2312" w:hAnsi="仿宋" w:eastAsia="仿宋_GB2312" w:cs="宋体"/>
                <w:color w:val="000000"/>
                <w:kern w:val="0"/>
                <w:szCs w:val="21"/>
              </w:rPr>
              <w:t>500-1000</w:t>
            </w:r>
            <w:r>
              <w:rPr>
                <w:rFonts w:hint="eastAsia" w:ascii="仿宋_GB2312" w:hAnsi="仿宋" w:eastAsia="仿宋_GB2312" w:cs="宋体"/>
                <w:color w:val="000000"/>
                <w:kern w:val="0"/>
                <w:szCs w:val="21"/>
              </w:rPr>
              <w:t>万，用于开发验证机和原型机及进行临床实验。</w:t>
            </w:r>
          </w:p>
        </w:tc>
        <w:tc>
          <w:tcPr>
            <w:tcW w:w="1236" w:type="dxa"/>
            <w:vAlign w:val="center"/>
          </w:tcPr>
          <w:p>
            <w:pPr>
              <w:widowControl/>
              <w:jc w:val="center"/>
              <w:rPr>
                <w:rFonts w:ascii="仿宋" w:hAnsi="仿宋" w:eastAsia="仿宋" w:cs="宋体"/>
                <w:color w:val="000000"/>
                <w:kern w:val="0"/>
                <w:sz w:val="24"/>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7"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17</w:t>
            </w:r>
          </w:p>
        </w:tc>
        <w:tc>
          <w:tcPr>
            <w:tcW w:w="1496" w:type="dxa"/>
            <w:vAlign w:val="center"/>
          </w:tcPr>
          <w:p>
            <w:pPr>
              <w:jc w:val="center"/>
              <w:rPr>
                <w:rFonts w:ascii="仿宋_GB2312" w:hAnsi="仿宋" w:eastAsia="仿宋_GB2312" w:cs="宋体"/>
                <w:color w:val="000000"/>
                <w:kern w:val="0"/>
                <w:szCs w:val="21"/>
              </w:rPr>
            </w:pPr>
            <w:r>
              <w:rPr>
                <w:rFonts w:ascii="仿宋_GB2312" w:hAnsi="仿宋" w:eastAsia="仿宋_GB2312" w:cs="宋体"/>
                <w:color w:val="000000"/>
                <w:kern w:val="0"/>
                <w:szCs w:val="21"/>
              </w:rPr>
              <w:t>DeepLab</w:t>
            </w:r>
          </w:p>
        </w:tc>
        <w:tc>
          <w:tcPr>
            <w:tcW w:w="8641" w:type="dxa"/>
            <w:vAlign w:val="bottom"/>
          </w:tcPr>
          <w:p>
            <w:pPr>
              <w:rPr>
                <w:rFonts w:ascii="仿宋_GB2312" w:hAnsi="仿宋" w:eastAsia="仿宋_GB2312" w:cs="宋体"/>
                <w:b/>
                <w:bCs/>
                <w:color w:val="000000"/>
                <w:kern w:val="0"/>
                <w:szCs w:val="21"/>
              </w:rPr>
            </w:pPr>
            <w:r>
              <w:rPr>
                <w:rFonts w:ascii="仿宋_GB2312" w:hAnsi="仿宋" w:eastAsia="仿宋_GB2312" w:cs="宋体"/>
                <w:b/>
                <w:bCs/>
                <w:color w:val="000000"/>
                <w:kern w:val="0"/>
                <w:szCs w:val="21"/>
              </w:rPr>
              <w:t>DeepLab</w:t>
            </w:r>
            <w:r>
              <w:rPr>
                <w:rFonts w:hint="eastAsia" w:ascii="仿宋_GB2312" w:hAnsi="仿宋" w:eastAsia="仿宋_GB2312" w:cs="宋体"/>
                <w:b/>
                <w:bCs/>
                <w:color w:val="000000"/>
                <w:kern w:val="0"/>
                <w:szCs w:val="21"/>
              </w:rPr>
              <w:t>远程数字诊断解决方案</w:t>
            </w:r>
          </w:p>
          <w:p>
            <w:p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远程数字诊断解决方案集成了一组聚合传感器到床架上。传感器提供</w:t>
            </w:r>
            <w:r>
              <w:rPr>
                <w:rFonts w:ascii="仿宋_GB2312" w:hAnsi="仿宋" w:eastAsia="仿宋_GB2312" w:cs="宋体"/>
                <w:color w:val="000000"/>
                <w:kern w:val="0"/>
                <w:szCs w:val="21"/>
              </w:rPr>
              <w:t>24/7</w:t>
            </w:r>
            <w:r>
              <w:rPr>
                <w:rFonts w:hint="eastAsia" w:ascii="仿宋_GB2312" w:hAnsi="仿宋" w:eastAsia="仿宋_GB2312" w:cs="宋体"/>
                <w:color w:val="000000"/>
                <w:kern w:val="0"/>
                <w:szCs w:val="21"/>
              </w:rPr>
              <w:t>的数据收集，经由人工智能算法进行分析，在患者出现严重健康问题之前检测出患者的健康问题</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特别关注与患者治疗</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监测的疾病相关的问题，目前也包括</w:t>
            </w:r>
            <w:r>
              <w:rPr>
                <w:rFonts w:ascii="仿宋_GB2312" w:hAnsi="仿宋" w:eastAsia="仿宋_GB2312" w:cs="宋体"/>
                <w:color w:val="000000"/>
                <w:kern w:val="0"/>
                <w:szCs w:val="21"/>
              </w:rPr>
              <w:t>COVID-19)</w:t>
            </w:r>
            <w:r>
              <w:rPr>
                <w:rFonts w:hint="eastAsia" w:ascii="仿宋_GB2312" w:hAnsi="仿宋" w:eastAsia="仿宋_GB2312" w:cs="宋体"/>
                <w:color w:val="000000"/>
                <w:kern w:val="0"/>
                <w:szCs w:val="21"/>
              </w:rPr>
              <w:t>。来自生命体征传感器的信息被集成并传送到中央控制室或疗养院或家庭护理的远程控制场所。它有助于同时评估数百名患者在同一时间和同一地点的急性状况。该解决方案是由捷克共和国研发中心</w:t>
            </w:r>
            <w:r>
              <w:rPr>
                <w:rFonts w:ascii="仿宋_GB2312" w:hAnsi="仿宋" w:eastAsia="仿宋_GB2312" w:cs="宋体"/>
                <w:color w:val="000000"/>
                <w:kern w:val="0"/>
                <w:szCs w:val="21"/>
              </w:rPr>
              <w:t>DeepLab</w:t>
            </w:r>
            <w:r>
              <w:rPr>
                <w:rFonts w:hint="eastAsia" w:ascii="仿宋_GB2312" w:hAnsi="仿宋" w:eastAsia="仿宋_GB2312" w:cs="宋体"/>
                <w:color w:val="000000"/>
                <w:kern w:val="0"/>
                <w:szCs w:val="21"/>
              </w:rPr>
              <w:t>与克拉洛夫大学合作开发的，是</w:t>
            </w:r>
            <w:r>
              <w:rPr>
                <w:rFonts w:ascii="仿宋_GB2312" w:hAnsi="仿宋" w:eastAsia="仿宋_GB2312" w:cs="宋体"/>
                <w:color w:val="000000"/>
                <w:kern w:val="0"/>
                <w:szCs w:val="21"/>
              </w:rPr>
              <w:t>10</w:t>
            </w:r>
            <w:r>
              <w:rPr>
                <w:rFonts w:hint="eastAsia" w:ascii="仿宋_GB2312" w:hAnsi="仿宋" w:eastAsia="仿宋_GB2312" w:cs="宋体"/>
                <w:color w:val="000000"/>
                <w:kern w:val="0"/>
                <w:szCs w:val="21"/>
              </w:rPr>
              <w:t>多年在生命体征监测方面的研究成果。该公司正与英国政府机构紧密合作，以使该系统能够纳入英国国家医疗服务体系。自</w:t>
            </w:r>
            <w:r>
              <w:rPr>
                <w:rFonts w:ascii="仿宋_GB2312" w:hAnsi="仿宋" w:eastAsia="仿宋_GB2312" w:cs="宋体"/>
                <w:color w:val="000000"/>
                <w:kern w:val="0"/>
                <w:szCs w:val="21"/>
              </w:rPr>
              <w:t>2021</w:t>
            </w:r>
            <w:r>
              <w:rPr>
                <w:rFonts w:hint="eastAsia" w:ascii="仿宋_GB2312" w:hAnsi="仿宋" w:eastAsia="仿宋_GB2312" w:cs="宋体"/>
                <w:color w:val="000000"/>
                <w:kern w:val="0"/>
                <w:szCs w:val="21"/>
              </w:rPr>
              <w:t>年</w:t>
            </w:r>
            <w:r>
              <w:rPr>
                <w:rFonts w:ascii="仿宋_GB2312" w:hAnsi="仿宋" w:eastAsia="仿宋_GB2312" w:cs="宋体"/>
                <w:color w:val="000000"/>
                <w:kern w:val="0"/>
                <w:szCs w:val="21"/>
              </w:rPr>
              <w:t>1</w:t>
            </w:r>
            <w:r>
              <w:rPr>
                <w:rFonts w:hint="eastAsia" w:ascii="仿宋_GB2312" w:hAnsi="仿宋" w:eastAsia="仿宋_GB2312" w:cs="宋体"/>
                <w:color w:val="000000"/>
                <w:kern w:val="0"/>
                <w:szCs w:val="21"/>
              </w:rPr>
              <w:t>月起，</w:t>
            </w:r>
            <w:r>
              <w:rPr>
                <w:rFonts w:ascii="仿宋_GB2312" w:hAnsi="仿宋" w:eastAsia="仿宋_GB2312" w:cs="宋体"/>
                <w:color w:val="000000"/>
                <w:kern w:val="0"/>
                <w:szCs w:val="21"/>
              </w:rPr>
              <w:t>DeepLab</w:t>
            </w:r>
            <w:r>
              <w:rPr>
                <w:rFonts w:hint="eastAsia" w:ascii="仿宋_GB2312" w:hAnsi="仿宋" w:eastAsia="仿宋_GB2312" w:cs="宋体"/>
                <w:color w:val="000000"/>
                <w:kern w:val="0"/>
                <w:szCs w:val="21"/>
              </w:rPr>
              <w:t>还在享有盛名的</w:t>
            </w:r>
            <w:r>
              <w:rPr>
                <w:rFonts w:ascii="仿宋_GB2312" w:hAnsi="仿宋" w:eastAsia="仿宋_GB2312" w:cs="宋体"/>
                <w:color w:val="000000"/>
                <w:kern w:val="0"/>
                <w:szCs w:val="21"/>
              </w:rPr>
              <w:t>P4</w:t>
            </w:r>
            <w:r>
              <w:rPr>
                <w:rFonts w:hint="eastAsia" w:ascii="仿宋_GB2312" w:hAnsi="仿宋" w:eastAsia="仿宋_GB2312" w:cs="宋体"/>
                <w:color w:val="000000"/>
                <w:kern w:val="0"/>
                <w:szCs w:val="21"/>
              </w:rPr>
              <w:t>精准医疗加速器及伦敦定制药物加速器中担任重要角色。它最初的设计目的是为阿尔茨海默病治疗中心提供有效方式，以照顾中心的居民，最近扩展到对新冠病人的监测。</w:t>
            </w:r>
          </w:p>
          <w:p>
            <w:pPr>
              <w:rPr>
                <w:rFonts w:ascii="仿宋_GB2312" w:hAnsi="仿宋" w:eastAsia="仿宋_GB2312" w:cs="宋体"/>
                <w:color w:val="000000"/>
                <w:kern w:val="0"/>
                <w:szCs w:val="21"/>
              </w:rPr>
            </w:pPr>
            <w:r>
              <w:rPr>
                <w:rFonts w:ascii="仿宋_GB2312" w:hAnsi="仿宋" w:eastAsia="仿宋_GB2312" w:cs="宋体"/>
                <w:color w:val="000000"/>
                <w:kern w:val="0"/>
                <w:szCs w:val="21"/>
              </w:rPr>
              <w:t xml:space="preserve">Key benefits </w:t>
            </w:r>
            <w:r>
              <w:rPr>
                <w:rFonts w:hint="eastAsia" w:ascii="仿宋_GB2312" w:hAnsi="仿宋" w:eastAsia="仿宋_GB2312" w:cs="宋体"/>
                <w:color w:val="000000"/>
                <w:kern w:val="0"/>
                <w:szCs w:val="21"/>
              </w:rPr>
              <w:t>核心价值</w:t>
            </w:r>
          </w:p>
          <w:p>
            <w:pPr>
              <w:numPr>
                <w:ilvl w:val="0"/>
                <w:numId w:val="1"/>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远程护理系统保护了医护人员，提高了他们的工作效率</w:t>
            </w:r>
          </w:p>
          <w:p>
            <w:pPr>
              <w:numPr>
                <w:ilvl w:val="0"/>
                <w:numId w:val="1"/>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准确性</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可与现场医疗设备媲美，已经临床测试，低错误率</w:t>
            </w:r>
            <w:r>
              <w:rPr>
                <w:rFonts w:ascii="仿宋_GB2312" w:hAnsi="仿宋" w:eastAsia="仿宋_GB2312" w:cs="宋体"/>
                <w:color w:val="000000"/>
                <w:kern w:val="0"/>
                <w:szCs w:val="21"/>
              </w:rPr>
              <w:t xml:space="preserve"> </w:t>
            </w:r>
          </w:p>
          <w:p>
            <w:pPr>
              <w:numPr>
                <w:ilvl w:val="0"/>
                <w:numId w:val="1"/>
              </w:numPr>
              <w:rPr>
                <w:rFonts w:ascii="仿宋_GB2312" w:hAnsi="仿宋" w:eastAsia="仿宋_GB2312" w:cs="宋体"/>
                <w:color w:val="000000"/>
                <w:kern w:val="0"/>
                <w:szCs w:val="21"/>
              </w:rPr>
            </w:pPr>
            <w:r>
              <w:rPr>
                <w:rFonts w:ascii="仿宋_GB2312" w:hAnsi="仿宋" w:eastAsia="仿宋_GB2312" w:cs="宋体"/>
                <w:color w:val="000000"/>
                <w:kern w:val="0"/>
                <w:szCs w:val="21"/>
              </w:rPr>
              <w:t>AI -</w:t>
            </w:r>
            <w:r>
              <w:rPr>
                <w:rFonts w:hint="eastAsia" w:ascii="仿宋_GB2312" w:hAnsi="仿宋" w:eastAsia="仿宋_GB2312" w:cs="宋体"/>
                <w:color w:val="000000"/>
                <w:kern w:val="0"/>
                <w:szCs w:val="21"/>
              </w:rPr>
              <w:t>支持诊断和疾病过程监测</w:t>
            </w:r>
          </w:p>
          <w:p>
            <w:pPr>
              <w:numPr>
                <w:ilvl w:val="0"/>
                <w:numId w:val="1"/>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即插即用解决方案</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只需简单的插件插座操作，无需员工培训</w:t>
            </w:r>
          </w:p>
          <w:p>
            <w:pPr>
              <w:numPr>
                <w:ilvl w:val="0"/>
                <w:numId w:val="1"/>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病人的舒适度佳</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所有的传感器和设备都位于床垫下，病人不可见、无感知</w:t>
            </w:r>
            <w:r>
              <w:rPr>
                <w:rFonts w:ascii="仿宋_GB2312" w:hAnsi="仿宋" w:eastAsia="仿宋_GB2312" w:cs="宋体"/>
                <w:color w:val="000000"/>
                <w:kern w:val="0"/>
                <w:szCs w:val="21"/>
              </w:rPr>
              <w:t xml:space="preserve"> </w:t>
            </w:r>
          </w:p>
          <w:p>
            <w:pPr>
              <w:numPr>
                <w:ilvl w:val="0"/>
                <w:numId w:val="1"/>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该系统的成本效益高，可以集成到任何医院的病床上</w:t>
            </w:r>
          </w:p>
        </w:tc>
        <w:tc>
          <w:tcPr>
            <w:tcW w:w="2749" w:type="dxa"/>
            <w:vAlign w:val="center"/>
          </w:tcPr>
          <w:p>
            <w:p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公司感兴趣的合作伙伴</w:t>
            </w:r>
            <w:r>
              <w:rPr>
                <w:rFonts w:ascii="仿宋_GB2312" w:hAnsi="仿宋" w:eastAsia="仿宋_GB2312" w:cs="宋体"/>
                <w:color w:val="000000"/>
                <w:kern w:val="0"/>
                <w:szCs w:val="21"/>
              </w:rPr>
              <w:t>:</w:t>
            </w:r>
          </w:p>
          <w:p>
            <w:pPr>
              <w:numPr>
                <w:ilvl w:val="0"/>
                <w:numId w:val="2"/>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医院、诊所、医疗中心、养老院代表</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大型政府办网络、民营连锁和独立机构</w:t>
            </w:r>
            <w:r>
              <w:rPr>
                <w:rFonts w:ascii="仿宋_GB2312" w:hAnsi="仿宋" w:eastAsia="仿宋_GB2312" w:cs="宋体"/>
                <w:color w:val="000000"/>
                <w:kern w:val="0"/>
                <w:szCs w:val="21"/>
              </w:rPr>
              <w:t>)</w:t>
            </w:r>
          </w:p>
          <w:p>
            <w:pPr>
              <w:numPr>
                <w:ilvl w:val="0"/>
                <w:numId w:val="2"/>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医疗设备制造商</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本土及外资企业</w:t>
            </w:r>
            <w:r>
              <w:rPr>
                <w:rFonts w:ascii="仿宋_GB2312" w:hAnsi="仿宋" w:eastAsia="仿宋_GB2312" w:cs="宋体"/>
                <w:color w:val="000000"/>
                <w:kern w:val="0"/>
                <w:szCs w:val="21"/>
              </w:rPr>
              <w:t>-</w:t>
            </w:r>
            <w:r>
              <w:rPr>
                <w:rFonts w:hint="eastAsia" w:ascii="仿宋_GB2312" w:hAnsi="仿宋" w:eastAsia="仿宋_GB2312" w:cs="宋体"/>
                <w:color w:val="000000"/>
                <w:kern w:val="0"/>
                <w:szCs w:val="21"/>
              </w:rPr>
              <w:t>美敦力、西门子、飞利浦、斯特莱克、雅培、强生等</w:t>
            </w:r>
            <w:r>
              <w:rPr>
                <w:rFonts w:ascii="仿宋_GB2312" w:hAnsi="仿宋" w:eastAsia="仿宋_GB2312" w:cs="宋体"/>
                <w:color w:val="000000"/>
                <w:kern w:val="0"/>
                <w:szCs w:val="21"/>
              </w:rPr>
              <w:t>)</w:t>
            </w:r>
          </w:p>
          <w:p>
            <w:pPr>
              <w:numPr>
                <w:ilvl w:val="0"/>
                <w:numId w:val="2"/>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医疗设备经销商</w:t>
            </w:r>
          </w:p>
          <w:p>
            <w:pPr>
              <w:numPr>
                <w:ilvl w:val="0"/>
                <w:numId w:val="2"/>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原始设备制造商</w:t>
            </w:r>
          </w:p>
          <w:p>
            <w:pPr>
              <w:numPr>
                <w:ilvl w:val="0"/>
                <w:numId w:val="2"/>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卫生部代表、政府经营的医疗保健协会</w:t>
            </w:r>
          </w:p>
          <w:p>
            <w:pPr>
              <w:numPr>
                <w:ilvl w:val="0"/>
                <w:numId w:val="2"/>
              </w:num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投资者</w:t>
            </w:r>
          </w:p>
        </w:tc>
        <w:tc>
          <w:tcPr>
            <w:tcW w:w="1236" w:type="dxa"/>
            <w:vAlign w:val="center"/>
          </w:tcPr>
          <w:p>
            <w:pPr>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路演项目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4" w:hRule="atLeast"/>
        </w:trPr>
        <w:tc>
          <w:tcPr>
            <w:tcW w:w="853" w:type="dxa"/>
            <w:vAlign w:val="center"/>
          </w:tcPr>
          <w:p>
            <w:pPr>
              <w:widowControl/>
              <w:jc w:val="center"/>
              <w:rPr>
                <w:rFonts w:eastAsia="仿宋" w:cs="Calibri"/>
                <w:color w:val="000000"/>
                <w:kern w:val="0"/>
                <w:sz w:val="24"/>
              </w:rPr>
            </w:pPr>
            <w:r>
              <w:rPr>
                <w:rFonts w:eastAsia="仿宋" w:cs="Calibri"/>
                <w:color w:val="000000"/>
                <w:kern w:val="0"/>
                <w:sz w:val="24"/>
              </w:rPr>
              <w:t>18</w:t>
            </w:r>
          </w:p>
        </w:tc>
        <w:tc>
          <w:tcPr>
            <w:tcW w:w="1496" w:type="dxa"/>
            <w:vAlign w:val="center"/>
          </w:tcPr>
          <w:p>
            <w:pPr>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英国</w:t>
            </w:r>
          </w:p>
          <w:p>
            <w:pPr>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斯旺西大学</w:t>
            </w:r>
          </w:p>
        </w:tc>
        <w:tc>
          <w:tcPr>
            <w:tcW w:w="8641" w:type="dxa"/>
            <w:vAlign w:val="bottom"/>
          </w:tcPr>
          <w:p>
            <w:pPr>
              <w:rPr>
                <w:rFonts w:ascii="仿宋_GB2312" w:hAnsi="仿宋" w:eastAsia="仿宋_GB2312" w:cs="宋体"/>
                <w:b/>
                <w:bCs/>
                <w:color w:val="000000"/>
                <w:kern w:val="0"/>
                <w:szCs w:val="21"/>
              </w:rPr>
            </w:pPr>
            <w:r>
              <w:rPr>
                <w:rFonts w:hint="eastAsia" w:ascii="仿宋_GB2312" w:hAnsi="仿宋" w:eastAsia="仿宋_GB2312" w:cs="宋体"/>
                <w:b/>
                <w:bCs/>
                <w:color w:val="000000"/>
                <w:kern w:val="0"/>
                <w:szCs w:val="21"/>
              </w:rPr>
              <w:t>用于疫苗和药物输送和诊断的微针技术</w:t>
            </w:r>
          </w:p>
          <w:p>
            <w:p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微针是一种微小的显微针头，比传统的皮下注射针头小得多，可以通过皮肤以微创的方式将药物或疫苗送入体内。靶向输送到皮肤外表面（角质层）正下方的各层可用于实现更有效的药物或疫苗输送。我们现在将诊断与治疗性微针相结合。综合了不同锰材料、制备工艺和设计的优缺点。微针尖端的锋利度对其有效的皮肤渗透至关重要。该技术提出了一种新颖的“斜面尖端”微针设计，并讨论了微针在诊断、治疗和美容方面的应用，使得微针能够以较低的插入力穿透皮肤。此外，空心微针已经被开发出来，与涂层固体微针相比，空心微针可用于向皮肤注入大量物质。</w:t>
            </w:r>
          </w:p>
        </w:tc>
        <w:tc>
          <w:tcPr>
            <w:tcW w:w="2749" w:type="dxa"/>
            <w:vAlign w:val="center"/>
          </w:tcPr>
          <w:p>
            <w:pP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我们正在寻找潜在的临床试验、应用合作伙伴，如制药公司或疫苗公司。</w:t>
            </w:r>
          </w:p>
        </w:tc>
        <w:tc>
          <w:tcPr>
            <w:tcW w:w="1236" w:type="dxa"/>
            <w:vAlign w:val="center"/>
          </w:tcPr>
          <w:p>
            <w:pPr>
              <w:jc w:val="center"/>
              <w:rPr>
                <w:rFonts w:ascii="仿宋_GB2312" w:hAnsi="仿宋" w:eastAsia="仿宋_GB2312" w:cs="宋体"/>
                <w:color w:val="000000"/>
                <w:kern w:val="0"/>
                <w:szCs w:val="21"/>
              </w:rPr>
            </w:pPr>
            <w:r>
              <w:rPr>
                <w:rFonts w:hint="eastAsia" w:ascii="仿宋_GB2312" w:hAnsi="仿宋" w:eastAsia="仿宋_GB2312" w:cs="宋体"/>
                <w:color w:val="000000"/>
                <w:kern w:val="0"/>
                <w:szCs w:val="21"/>
              </w:rPr>
              <w:t>路演项目</w:t>
            </w:r>
          </w:p>
        </w:tc>
      </w:tr>
    </w:tbl>
    <w:p>
      <w:pPr>
        <w:snapToGrid w:val="0"/>
        <w:spacing w:line="500" w:lineRule="exact"/>
        <w:ind w:right="1120"/>
        <w:rPr>
          <w:rFonts w:ascii="Times New Roman" w:hAnsi="Times New Roman" w:eastAsia="仿宋"/>
          <w:sz w:val="30"/>
          <w:szCs w:val="30"/>
        </w:rPr>
        <w:sectPr>
          <w:pgSz w:w="16838" w:h="11906" w:orient="landscape"/>
          <w:pgMar w:top="779" w:right="1383" w:bottom="1531" w:left="1383" w:header="851" w:footer="992" w:gutter="0"/>
          <w:cols w:space="0" w:num="1"/>
          <w:docGrid w:type="lines" w:linePitch="312" w:charSpace="0"/>
        </w:sectPr>
      </w:pPr>
    </w:p>
    <w:p>
      <w:pPr>
        <w:snapToGrid w:val="0"/>
        <w:spacing w:line="500" w:lineRule="exact"/>
        <w:ind w:right="1120"/>
        <w:rPr>
          <w:rFonts w:ascii="黑体" w:hAnsi="黑体" w:eastAsia="黑体"/>
          <w:sz w:val="32"/>
          <w:szCs w:val="32"/>
        </w:rPr>
      </w:pPr>
      <w:r>
        <w:rPr>
          <w:rFonts w:hint="eastAsia" w:ascii="黑体" w:hAnsi="黑体" w:eastAsia="黑体"/>
          <w:sz w:val="32"/>
          <w:szCs w:val="32"/>
        </w:rPr>
        <w:t>附件</w:t>
      </w:r>
      <w:r>
        <w:rPr>
          <w:rFonts w:ascii="黑体" w:hAnsi="黑体" w:eastAsia="黑体"/>
          <w:sz w:val="32"/>
          <w:szCs w:val="32"/>
        </w:rPr>
        <w:t>3</w:t>
      </w:r>
    </w:p>
    <w:p>
      <w:pPr>
        <w:snapToGrid w:val="0"/>
        <w:spacing w:line="500" w:lineRule="exact"/>
        <w:ind w:right="1120"/>
        <w:jc w:val="center"/>
        <w:rPr>
          <w:rFonts w:ascii="宋体"/>
          <w:b/>
          <w:bCs/>
          <w:sz w:val="44"/>
          <w:szCs w:val="44"/>
        </w:rPr>
      </w:pPr>
      <w:r>
        <w:rPr>
          <w:rFonts w:ascii="方正小标宋_GBK" w:hAnsi="Times New Roman" w:eastAsia="方正小标宋_GBK"/>
          <w:sz w:val="44"/>
          <w:szCs w:val="44"/>
        </w:rPr>
        <w:t xml:space="preserve">    </w:t>
      </w:r>
      <w:r>
        <w:rPr>
          <w:rFonts w:hint="eastAsia" w:ascii="宋体" w:hAnsi="宋体"/>
          <w:b/>
          <w:bCs/>
          <w:sz w:val="44"/>
          <w:szCs w:val="44"/>
        </w:rPr>
        <w:t>报名方式</w:t>
      </w:r>
    </w:p>
    <w:p>
      <w:pPr>
        <w:snapToGrid w:val="0"/>
        <w:spacing w:line="500" w:lineRule="exact"/>
        <w:ind w:right="1120"/>
        <w:jc w:val="center"/>
        <w:rPr>
          <w:rFonts w:ascii="方正小标宋_GBK" w:hAnsi="Times New Roman" w:eastAsia="方正小标宋_GBK"/>
          <w:sz w:val="44"/>
          <w:szCs w:val="44"/>
        </w:rPr>
      </w:pPr>
    </w:p>
    <w:p>
      <w:pPr>
        <w:ind w:firstLine="645"/>
        <w:rPr>
          <w:rFonts w:ascii="仿宋_GB2312" w:hAnsi="仿宋" w:eastAsia="仿宋_GB2312"/>
          <w:sz w:val="32"/>
          <w:szCs w:val="32"/>
        </w:rPr>
      </w:pPr>
      <w:r>
        <w:rPr>
          <w:rFonts w:hint="eastAsia" w:ascii="仿宋_GB2312" w:hAnsi="仿宋" w:eastAsia="仿宋_GB2312"/>
          <w:sz w:val="32"/>
          <w:szCs w:val="32"/>
        </w:rPr>
        <w:t>欢迎感兴趣的企业、高校、院所等代表参加本次线上或线下会议。请有意参会人员用通过微信扫描下方二维码、完成活动报名并入群交流，以便获取活动信息和后续项目对接服务。</w:t>
      </w:r>
    </w:p>
    <w:p>
      <w:pPr>
        <w:ind w:firstLine="3200" w:firstLineChars="1000"/>
        <w:rPr>
          <w:rFonts w:ascii="仿宋_GB2312" w:hAnsi="仿宋" w:eastAsia="仿宋_GB2312"/>
          <w:sz w:val="32"/>
          <w:szCs w:val="32"/>
        </w:rPr>
      </w:pPr>
      <w:r>
        <w:rPr>
          <w:rFonts w:ascii="仿宋_GB2312" w:hAnsi="仿宋" w:eastAsia="仿宋_GB2312"/>
          <w:sz w:val="32"/>
          <w:szCs w:val="32"/>
        </w:rPr>
        <w:pict>
          <v:shape id="_x0000_i1025" o:spt="75" type="#_x0000_t75" style="height:118.5pt;width:118.5pt;" filled="f" o:preferrelative="t" stroked="f" coordsize="21600,21600">
            <v:path/>
            <v:fill on="f" focussize="0,0"/>
            <v:stroke on="f" joinstyle="miter"/>
            <v:imagedata r:id="rId7" o:title=""/>
            <o:lock v:ext="edit" aspectratio="t"/>
            <w10:wrap type="none"/>
            <w10:anchorlock/>
          </v:shape>
        </w:pict>
      </w:r>
    </w:p>
    <w:p>
      <w:pPr>
        <w:snapToGrid w:val="0"/>
        <w:spacing w:line="120" w:lineRule="exact"/>
        <w:ind w:right="1123"/>
        <w:rPr>
          <w:rFonts w:ascii="Times New Roman" w:hAnsi="Times New Roman" w:eastAsia="仿宋"/>
          <w:sz w:val="28"/>
          <w:szCs w:val="28"/>
        </w:rPr>
      </w:pPr>
      <w:r>
        <w:rPr>
          <w:rFonts w:ascii="Times New Roman" w:hAnsi="Times New Roman" w:eastAsia="仿宋"/>
          <w:sz w:val="32"/>
          <w:szCs w:val="32"/>
        </w:rPr>
        <w:pict>
          <v:shape id="_x0000_i1026" o:spt="75" type="#_x0000_t75" style="height:87.75pt;width:89.25pt;" filled="f" o:preferrelative="t" stroked="f" coordsize="21600,21600">
            <v:path/>
            <v:fill on="f" focussize="0,0"/>
            <v:stroke on="f" joinstyle="miter"/>
            <v:imagedata r:id="rId8" o:title=""/>
            <o:lock v:ext="edit" aspectratio="t"/>
            <w10:wrap type="none"/>
            <w10:anchorlock/>
          </v:shape>
        </w:pict>
      </w:r>
    </w:p>
    <w:sectPr>
      <w:headerReference r:id="rId3" w:type="default"/>
      <w:footerReference r:id="rId5" w:type="default"/>
      <w:headerReference r:id="rId4" w:type="even"/>
      <w:pgSz w:w="11906" w:h="16838"/>
      <w:pgMar w:top="1383" w:right="1531" w:bottom="1383" w:left="153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Bell MT">
    <w:panose1 w:val="02020503060305020303"/>
    <w:charset w:val="00"/>
    <w:family w:val="roman"/>
    <w:pitch w:val="default"/>
    <w:sig w:usb0="00000003" w:usb1="00000000" w:usb2="00000000" w:usb3="00000000" w:csb0="20000001" w:csb1="00000000"/>
  </w:font>
  <w:font w:name="Courier New">
    <w:panose1 w:val="02070309020205020404"/>
    <w:charset w:val="00"/>
    <w:family w:val="modern"/>
    <w:pitch w:val="default"/>
    <w:sig w:usb0="E0002AFF" w:usb1="C0007843" w:usb2="00000009" w:usb3="00000000" w:csb0="400001FF" w:csb1="FFFF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 PAGE   \* MERGEFORMAT </w:instrText>
    </w:r>
    <w:r>
      <w:fldChar w:fldCharType="separate"/>
    </w:r>
    <w:r>
      <w:rPr>
        <w:lang w:val="zh-CN"/>
      </w:rPr>
      <w:t>10</w:t>
    </w:r>
    <w:r>
      <w:rPr>
        <w:lang w:val="zh-CN"/>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41E3B"/>
    <w:multiLevelType w:val="multilevel"/>
    <w:tmpl w:val="00741E3B"/>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1">
    <w:nsid w:val="2B4A78A6"/>
    <w:multiLevelType w:val="multilevel"/>
    <w:tmpl w:val="2B4A78A6"/>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6A197999"/>
    <w:rsid w:val="00005BD8"/>
    <w:rsid w:val="00011DBD"/>
    <w:rsid w:val="00021129"/>
    <w:rsid w:val="000360F0"/>
    <w:rsid w:val="0004184C"/>
    <w:rsid w:val="00045114"/>
    <w:rsid w:val="00051342"/>
    <w:rsid w:val="000541DF"/>
    <w:rsid w:val="00065896"/>
    <w:rsid w:val="00071243"/>
    <w:rsid w:val="0007571A"/>
    <w:rsid w:val="00081F58"/>
    <w:rsid w:val="000963C9"/>
    <w:rsid w:val="000A2583"/>
    <w:rsid w:val="000A397F"/>
    <w:rsid w:val="000C08BF"/>
    <w:rsid w:val="000C379A"/>
    <w:rsid w:val="000D1908"/>
    <w:rsid w:val="000D3592"/>
    <w:rsid w:val="000D5B8A"/>
    <w:rsid w:val="000E578B"/>
    <w:rsid w:val="000E7B2C"/>
    <w:rsid w:val="000F597A"/>
    <w:rsid w:val="0010600B"/>
    <w:rsid w:val="0010782A"/>
    <w:rsid w:val="00120AD6"/>
    <w:rsid w:val="001225C0"/>
    <w:rsid w:val="00134824"/>
    <w:rsid w:val="00151519"/>
    <w:rsid w:val="00154EDA"/>
    <w:rsid w:val="0016201E"/>
    <w:rsid w:val="00166F79"/>
    <w:rsid w:val="001910F9"/>
    <w:rsid w:val="001B0985"/>
    <w:rsid w:val="001B6554"/>
    <w:rsid w:val="001C0E81"/>
    <w:rsid w:val="001C4E6C"/>
    <w:rsid w:val="001D31E2"/>
    <w:rsid w:val="001D47D1"/>
    <w:rsid w:val="001E0165"/>
    <w:rsid w:val="001E035F"/>
    <w:rsid w:val="001E2259"/>
    <w:rsid w:val="001F06EC"/>
    <w:rsid w:val="00204048"/>
    <w:rsid w:val="00214895"/>
    <w:rsid w:val="00227B13"/>
    <w:rsid w:val="0023354B"/>
    <w:rsid w:val="002423EC"/>
    <w:rsid w:val="00243282"/>
    <w:rsid w:val="002432BD"/>
    <w:rsid w:val="00244193"/>
    <w:rsid w:val="00253E35"/>
    <w:rsid w:val="002560F8"/>
    <w:rsid w:val="00265A6C"/>
    <w:rsid w:val="00266A17"/>
    <w:rsid w:val="00275C23"/>
    <w:rsid w:val="00290D88"/>
    <w:rsid w:val="00292450"/>
    <w:rsid w:val="002927A6"/>
    <w:rsid w:val="002A11F7"/>
    <w:rsid w:val="002B217D"/>
    <w:rsid w:val="002B33EC"/>
    <w:rsid w:val="002B43B3"/>
    <w:rsid w:val="002B48D4"/>
    <w:rsid w:val="002B6160"/>
    <w:rsid w:val="002B6170"/>
    <w:rsid w:val="002C7F04"/>
    <w:rsid w:val="002D28E8"/>
    <w:rsid w:val="002D2DD6"/>
    <w:rsid w:val="002D62E2"/>
    <w:rsid w:val="002D6608"/>
    <w:rsid w:val="002E1308"/>
    <w:rsid w:val="002E4745"/>
    <w:rsid w:val="002E503F"/>
    <w:rsid w:val="002E7415"/>
    <w:rsid w:val="003139B5"/>
    <w:rsid w:val="0031712A"/>
    <w:rsid w:val="0031727B"/>
    <w:rsid w:val="00317357"/>
    <w:rsid w:val="00320E04"/>
    <w:rsid w:val="003326D0"/>
    <w:rsid w:val="00334F5E"/>
    <w:rsid w:val="00345B76"/>
    <w:rsid w:val="00355A2F"/>
    <w:rsid w:val="00355B4C"/>
    <w:rsid w:val="003725C3"/>
    <w:rsid w:val="003742D7"/>
    <w:rsid w:val="0037451A"/>
    <w:rsid w:val="00376CE2"/>
    <w:rsid w:val="00385D9A"/>
    <w:rsid w:val="00386561"/>
    <w:rsid w:val="0038755E"/>
    <w:rsid w:val="0039035E"/>
    <w:rsid w:val="00394D6D"/>
    <w:rsid w:val="003959C8"/>
    <w:rsid w:val="003C4CFC"/>
    <w:rsid w:val="003C6D4C"/>
    <w:rsid w:val="003D0E80"/>
    <w:rsid w:val="003D103D"/>
    <w:rsid w:val="003E44AB"/>
    <w:rsid w:val="003E4BE6"/>
    <w:rsid w:val="003E62F1"/>
    <w:rsid w:val="00401A91"/>
    <w:rsid w:val="004153C1"/>
    <w:rsid w:val="0042336C"/>
    <w:rsid w:val="00423BF7"/>
    <w:rsid w:val="00423CBC"/>
    <w:rsid w:val="00425FE4"/>
    <w:rsid w:val="0042634A"/>
    <w:rsid w:val="00427228"/>
    <w:rsid w:val="004457D2"/>
    <w:rsid w:val="0044753E"/>
    <w:rsid w:val="00470147"/>
    <w:rsid w:val="00474ACC"/>
    <w:rsid w:val="00486773"/>
    <w:rsid w:val="00487D39"/>
    <w:rsid w:val="00493EA9"/>
    <w:rsid w:val="00495415"/>
    <w:rsid w:val="004A1019"/>
    <w:rsid w:val="004A1F76"/>
    <w:rsid w:val="004B24E4"/>
    <w:rsid w:val="004B3704"/>
    <w:rsid w:val="004D239D"/>
    <w:rsid w:val="004D4C79"/>
    <w:rsid w:val="004E4D67"/>
    <w:rsid w:val="004E5CFB"/>
    <w:rsid w:val="004F170A"/>
    <w:rsid w:val="004F7913"/>
    <w:rsid w:val="00500789"/>
    <w:rsid w:val="005025A8"/>
    <w:rsid w:val="00512A37"/>
    <w:rsid w:val="0051628B"/>
    <w:rsid w:val="00520ADA"/>
    <w:rsid w:val="005239B1"/>
    <w:rsid w:val="00535264"/>
    <w:rsid w:val="005360AF"/>
    <w:rsid w:val="005378EB"/>
    <w:rsid w:val="005504AC"/>
    <w:rsid w:val="00552C30"/>
    <w:rsid w:val="00561025"/>
    <w:rsid w:val="0056614B"/>
    <w:rsid w:val="005677D5"/>
    <w:rsid w:val="00571399"/>
    <w:rsid w:val="0057564E"/>
    <w:rsid w:val="00583D9F"/>
    <w:rsid w:val="005851FC"/>
    <w:rsid w:val="005915DD"/>
    <w:rsid w:val="005A2C81"/>
    <w:rsid w:val="005A6CD9"/>
    <w:rsid w:val="005E0695"/>
    <w:rsid w:val="005E3CE2"/>
    <w:rsid w:val="005F68A6"/>
    <w:rsid w:val="005F6E1E"/>
    <w:rsid w:val="00602F63"/>
    <w:rsid w:val="0060327F"/>
    <w:rsid w:val="00620AA4"/>
    <w:rsid w:val="00645141"/>
    <w:rsid w:val="006526F8"/>
    <w:rsid w:val="00656BF3"/>
    <w:rsid w:val="006648D9"/>
    <w:rsid w:val="00683032"/>
    <w:rsid w:val="00684134"/>
    <w:rsid w:val="00686E6B"/>
    <w:rsid w:val="00693B38"/>
    <w:rsid w:val="006A26D8"/>
    <w:rsid w:val="006A781D"/>
    <w:rsid w:val="006B79AB"/>
    <w:rsid w:val="006C1611"/>
    <w:rsid w:val="006C2701"/>
    <w:rsid w:val="006D41C7"/>
    <w:rsid w:val="006F4D9F"/>
    <w:rsid w:val="006F5673"/>
    <w:rsid w:val="007059F7"/>
    <w:rsid w:val="0071485C"/>
    <w:rsid w:val="007160EA"/>
    <w:rsid w:val="00717674"/>
    <w:rsid w:val="007306F4"/>
    <w:rsid w:val="00731A5B"/>
    <w:rsid w:val="00735A6A"/>
    <w:rsid w:val="007460FF"/>
    <w:rsid w:val="00751DD5"/>
    <w:rsid w:val="00761F33"/>
    <w:rsid w:val="00771854"/>
    <w:rsid w:val="007758B9"/>
    <w:rsid w:val="007900B5"/>
    <w:rsid w:val="007B4BDB"/>
    <w:rsid w:val="007B7E1D"/>
    <w:rsid w:val="007C13A0"/>
    <w:rsid w:val="007C5276"/>
    <w:rsid w:val="007D789A"/>
    <w:rsid w:val="007D7BD7"/>
    <w:rsid w:val="007F51DC"/>
    <w:rsid w:val="00805A7A"/>
    <w:rsid w:val="00815054"/>
    <w:rsid w:val="008161CF"/>
    <w:rsid w:val="00820D51"/>
    <w:rsid w:val="008224BA"/>
    <w:rsid w:val="00830304"/>
    <w:rsid w:val="00831D3A"/>
    <w:rsid w:val="00841FDC"/>
    <w:rsid w:val="0084218E"/>
    <w:rsid w:val="00842FF1"/>
    <w:rsid w:val="008464F9"/>
    <w:rsid w:val="00846D89"/>
    <w:rsid w:val="00855B6B"/>
    <w:rsid w:val="0085764C"/>
    <w:rsid w:val="00857B79"/>
    <w:rsid w:val="00864864"/>
    <w:rsid w:val="00874AA8"/>
    <w:rsid w:val="00881D59"/>
    <w:rsid w:val="008848F9"/>
    <w:rsid w:val="00887679"/>
    <w:rsid w:val="008A16B2"/>
    <w:rsid w:val="008A1A54"/>
    <w:rsid w:val="008A1B76"/>
    <w:rsid w:val="008B0813"/>
    <w:rsid w:val="008B1D21"/>
    <w:rsid w:val="008B7274"/>
    <w:rsid w:val="008D1BF3"/>
    <w:rsid w:val="008E34CC"/>
    <w:rsid w:val="008E44FF"/>
    <w:rsid w:val="008E5EB3"/>
    <w:rsid w:val="008F15EB"/>
    <w:rsid w:val="009016A9"/>
    <w:rsid w:val="00903EA2"/>
    <w:rsid w:val="00911CA6"/>
    <w:rsid w:val="00914192"/>
    <w:rsid w:val="0092442F"/>
    <w:rsid w:val="009453FE"/>
    <w:rsid w:val="00945DE9"/>
    <w:rsid w:val="00951F95"/>
    <w:rsid w:val="00954C40"/>
    <w:rsid w:val="00956797"/>
    <w:rsid w:val="00962ECB"/>
    <w:rsid w:val="009712A8"/>
    <w:rsid w:val="00986692"/>
    <w:rsid w:val="00993406"/>
    <w:rsid w:val="00994768"/>
    <w:rsid w:val="0099790F"/>
    <w:rsid w:val="009A39FF"/>
    <w:rsid w:val="009A62E1"/>
    <w:rsid w:val="009C5509"/>
    <w:rsid w:val="009E1A76"/>
    <w:rsid w:val="009F1EBA"/>
    <w:rsid w:val="009F7C15"/>
    <w:rsid w:val="00A01078"/>
    <w:rsid w:val="00A01095"/>
    <w:rsid w:val="00A0727A"/>
    <w:rsid w:val="00A14875"/>
    <w:rsid w:val="00A14EE6"/>
    <w:rsid w:val="00A155C9"/>
    <w:rsid w:val="00A214FF"/>
    <w:rsid w:val="00A22114"/>
    <w:rsid w:val="00A24E35"/>
    <w:rsid w:val="00A25DAB"/>
    <w:rsid w:val="00A2712F"/>
    <w:rsid w:val="00A27471"/>
    <w:rsid w:val="00A47CEC"/>
    <w:rsid w:val="00A514BC"/>
    <w:rsid w:val="00A52D18"/>
    <w:rsid w:val="00A659CA"/>
    <w:rsid w:val="00A66002"/>
    <w:rsid w:val="00A66DB0"/>
    <w:rsid w:val="00A67255"/>
    <w:rsid w:val="00A67C80"/>
    <w:rsid w:val="00A72531"/>
    <w:rsid w:val="00A72727"/>
    <w:rsid w:val="00A7451C"/>
    <w:rsid w:val="00A85BCD"/>
    <w:rsid w:val="00A863C8"/>
    <w:rsid w:val="00A94567"/>
    <w:rsid w:val="00AA1A40"/>
    <w:rsid w:val="00AA5551"/>
    <w:rsid w:val="00AA7E8A"/>
    <w:rsid w:val="00AB1F8C"/>
    <w:rsid w:val="00AB224F"/>
    <w:rsid w:val="00AC3B79"/>
    <w:rsid w:val="00AC3C8C"/>
    <w:rsid w:val="00AC4328"/>
    <w:rsid w:val="00AD00A1"/>
    <w:rsid w:val="00AD154E"/>
    <w:rsid w:val="00AE05ED"/>
    <w:rsid w:val="00AE1C8D"/>
    <w:rsid w:val="00AE2960"/>
    <w:rsid w:val="00AE5A91"/>
    <w:rsid w:val="00AF01FE"/>
    <w:rsid w:val="00AF02A2"/>
    <w:rsid w:val="00AF51A8"/>
    <w:rsid w:val="00AF73FD"/>
    <w:rsid w:val="00B041EB"/>
    <w:rsid w:val="00B05165"/>
    <w:rsid w:val="00B1238B"/>
    <w:rsid w:val="00B146A8"/>
    <w:rsid w:val="00B241D1"/>
    <w:rsid w:val="00B26380"/>
    <w:rsid w:val="00B37518"/>
    <w:rsid w:val="00B41D1A"/>
    <w:rsid w:val="00B42855"/>
    <w:rsid w:val="00B524E1"/>
    <w:rsid w:val="00B53F4C"/>
    <w:rsid w:val="00B56EFF"/>
    <w:rsid w:val="00B57819"/>
    <w:rsid w:val="00B60E5E"/>
    <w:rsid w:val="00B61719"/>
    <w:rsid w:val="00B619E0"/>
    <w:rsid w:val="00B630A6"/>
    <w:rsid w:val="00B65A3D"/>
    <w:rsid w:val="00B669D3"/>
    <w:rsid w:val="00B670A5"/>
    <w:rsid w:val="00B771AA"/>
    <w:rsid w:val="00B857B5"/>
    <w:rsid w:val="00B86049"/>
    <w:rsid w:val="00B86A66"/>
    <w:rsid w:val="00B876C8"/>
    <w:rsid w:val="00B9556A"/>
    <w:rsid w:val="00B96B12"/>
    <w:rsid w:val="00BA1905"/>
    <w:rsid w:val="00BA47EB"/>
    <w:rsid w:val="00BB38DC"/>
    <w:rsid w:val="00BB3DA4"/>
    <w:rsid w:val="00BB5249"/>
    <w:rsid w:val="00BC03E6"/>
    <w:rsid w:val="00BC1B67"/>
    <w:rsid w:val="00BD08F2"/>
    <w:rsid w:val="00BD437B"/>
    <w:rsid w:val="00BE03BD"/>
    <w:rsid w:val="00BE0806"/>
    <w:rsid w:val="00BE5199"/>
    <w:rsid w:val="00BE63C5"/>
    <w:rsid w:val="00BF0A0B"/>
    <w:rsid w:val="00BF0D52"/>
    <w:rsid w:val="00BF745E"/>
    <w:rsid w:val="00C07D00"/>
    <w:rsid w:val="00C11981"/>
    <w:rsid w:val="00C40942"/>
    <w:rsid w:val="00C4134E"/>
    <w:rsid w:val="00C530E7"/>
    <w:rsid w:val="00C63902"/>
    <w:rsid w:val="00C67F6E"/>
    <w:rsid w:val="00C76DD7"/>
    <w:rsid w:val="00C804AF"/>
    <w:rsid w:val="00C83B21"/>
    <w:rsid w:val="00C9299B"/>
    <w:rsid w:val="00C9442C"/>
    <w:rsid w:val="00CA20BB"/>
    <w:rsid w:val="00CA3F59"/>
    <w:rsid w:val="00CB0EAE"/>
    <w:rsid w:val="00CB3F14"/>
    <w:rsid w:val="00CB5A24"/>
    <w:rsid w:val="00CB77C0"/>
    <w:rsid w:val="00CC1D8B"/>
    <w:rsid w:val="00CC48FB"/>
    <w:rsid w:val="00CD243F"/>
    <w:rsid w:val="00CD3A52"/>
    <w:rsid w:val="00CD7463"/>
    <w:rsid w:val="00CF0D24"/>
    <w:rsid w:val="00CF26FD"/>
    <w:rsid w:val="00CF4289"/>
    <w:rsid w:val="00D05BAE"/>
    <w:rsid w:val="00D12024"/>
    <w:rsid w:val="00D25B9B"/>
    <w:rsid w:val="00D42C82"/>
    <w:rsid w:val="00D466AE"/>
    <w:rsid w:val="00D469A2"/>
    <w:rsid w:val="00D52AE5"/>
    <w:rsid w:val="00D60D18"/>
    <w:rsid w:val="00D610F7"/>
    <w:rsid w:val="00D66857"/>
    <w:rsid w:val="00D70DD6"/>
    <w:rsid w:val="00D82869"/>
    <w:rsid w:val="00D86AF8"/>
    <w:rsid w:val="00D86E4B"/>
    <w:rsid w:val="00D87987"/>
    <w:rsid w:val="00DB57DE"/>
    <w:rsid w:val="00DB7C07"/>
    <w:rsid w:val="00DC3AE1"/>
    <w:rsid w:val="00DD02A3"/>
    <w:rsid w:val="00DD0A76"/>
    <w:rsid w:val="00DD3EAA"/>
    <w:rsid w:val="00DD4ACA"/>
    <w:rsid w:val="00DF248A"/>
    <w:rsid w:val="00DF2EEB"/>
    <w:rsid w:val="00DF6A5E"/>
    <w:rsid w:val="00E02158"/>
    <w:rsid w:val="00E04203"/>
    <w:rsid w:val="00E04ADC"/>
    <w:rsid w:val="00E0786E"/>
    <w:rsid w:val="00E111DD"/>
    <w:rsid w:val="00E121BF"/>
    <w:rsid w:val="00E20FCA"/>
    <w:rsid w:val="00E2730E"/>
    <w:rsid w:val="00E31161"/>
    <w:rsid w:val="00E33B99"/>
    <w:rsid w:val="00E4266C"/>
    <w:rsid w:val="00E47282"/>
    <w:rsid w:val="00E55F71"/>
    <w:rsid w:val="00E765C6"/>
    <w:rsid w:val="00E82765"/>
    <w:rsid w:val="00E84905"/>
    <w:rsid w:val="00E84B9E"/>
    <w:rsid w:val="00E91CD7"/>
    <w:rsid w:val="00E96373"/>
    <w:rsid w:val="00EA01B4"/>
    <w:rsid w:val="00EA3AF2"/>
    <w:rsid w:val="00EA5408"/>
    <w:rsid w:val="00EB294E"/>
    <w:rsid w:val="00EB459D"/>
    <w:rsid w:val="00EB537F"/>
    <w:rsid w:val="00EB73D2"/>
    <w:rsid w:val="00ED0B75"/>
    <w:rsid w:val="00ED1CFA"/>
    <w:rsid w:val="00ED6E43"/>
    <w:rsid w:val="00EE0CA7"/>
    <w:rsid w:val="00EF37E6"/>
    <w:rsid w:val="00F008C2"/>
    <w:rsid w:val="00F07166"/>
    <w:rsid w:val="00F15C7A"/>
    <w:rsid w:val="00F15E60"/>
    <w:rsid w:val="00F179B9"/>
    <w:rsid w:val="00F24C40"/>
    <w:rsid w:val="00F2539B"/>
    <w:rsid w:val="00F304FA"/>
    <w:rsid w:val="00F3070E"/>
    <w:rsid w:val="00F35881"/>
    <w:rsid w:val="00F359B3"/>
    <w:rsid w:val="00F422B3"/>
    <w:rsid w:val="00F66159"/>
    <w:rsid w:val="00F66429"/>
    <w:rsid w:val="00F701A9"/>
    <w:rsid w:val="00F73383"/>
    <w:rsid w:val="00F77174"/>
    <w:rsid w:val="00F778B9"/>
    <w:rsid w:val="00F94237"/>
    <w:rsid w:val="00F959BB"/>
    <w:rsid w:val="00FB0FC7"/>
    <w:rsid w:val="00FB268B"/>
    <w:rsid w:val="00FB4708"/>
    <w:rsid w:val="00FC4CBF"/>
    <w:rsid w:val="00FC524A"/>
    <w:rsid w:val="00FD1124"/>
    <w:rsid w:val="00FD64BC"/>
    <w:rsid w:val="00FE66EB"/>
    <w:rsid w:val="00FF56C6"/>
    <w:rsid w:val="013C013A"/>
    <w:rsid w:val="022E205C"/>
    <w:rsid w:val="024A36FA"/>
    <w:rsid w:val="02540312"/>
    <w:rsid w:val="02566BEE"/>
    <w:rsid w:val="029C5A3E"/>
    <w:rsid w:val="02F64849"/>
    <w:rsid w:val="03F83CA8"/>
    <w:rsid w:val="0471774D"/>
    <w:rsid w:val="05811464"/>
    <w:rsid w:val="074A28BE"/>
    <w:rsid w:val="081E38C8"/>
    <w:rsid w:val="08545A4E"/>
    <w:rsid w:val="085E4B08"/>
    <w:rsid w:val="096F1F05"/>
    <w:rsid w:val="0A067F7E"/>
    <w:rsid w:val="0A370AB4"/>
    <w:rsid w:val="0AFF2EFE"/>
    <w:rsid w:val="0D7D6079"/>
    <w:rsid w:val="0E0F2C3F"/>
    <w:rsid w:val="0E570AC8"/>
    <w:rsid w:val="10AD0C65"/>
    <w:rsid w:val="10BE666B"/>
    <w:rsid w:val="1126274F"/>
    <w:rsid w:val="117A668C"/>
    <w:rsid w:val="12B714DC"/>
    <w:rsid w:val="13AA54C1"/>
    <w:rsid w:val="159268CB"/>
    <w:rsid w:val="16806248"/>
    <w:rsid w:val="18087700"/>
    <w:rsid w:val="184A5A4E"/>
    <w:rsid w:val="18E53E7D"/>
    <w:rsid w:val="1AC434A6"/>
    <w:rsid w:val="1AF331BB"/>
    <w:rsid w:val="1C8679CF"/>
    <w:rsid w:val="1C8E77D8"/>
    <w:rsid w:val="1D2671EE"/>
    <w:rsid w:val="1D3A5549"/>
    <w:rsid w:val="1E0646E3"/>
    <w:rsid w:val="1E0F27E8"/>
    <w:rsid w:val="1E74296C"/>
    <w:rsid w:val="1E8D6666"/>
    <w:rsid w:val="1EB547C5"/>
    <w:rsid w:val="1FA273B7"/>
    <w:rsid w:val="2016060B"/>
    <w:rsid w:val="202158B7"/>
    <w:rsid w:val="205C2949"/>
    <w:rsid w:val="21052837"/>
    <w:rsid w:val="2133467D"/>
    <w:rsid w:val="22647B21"/>
    <w:rsid w:val="23CF18C6"/>
    <w:rsid w:val="24CD7D0F"/>
    <w:rsid w:val="260F3AC1"/>
    <w:rsid w:val="26331BE2"/>
    <w:rsid w:val="2AC9030E"/>
    <w:rsid w:val="2AE22C0D"/>
    <w:rsid w:val="2AE9328A"/>
    <w:rsid w:val="2B8A0BC3"/>
    <w:rsid w:val="2BB822EB"/>
    <w:rsid w:val="2F72713D"/>
    <w:rsid w:val="2FD70AF0"/>
    <w:rsid w:val="311D37C6"/>
    <w:rsid w:val="32087E2A"/>
    <w:rsid w:val="333B1458"/>
    <w:rsid w:val="337953D8"/>
    <w:rsid w:val="33F15375"/>
    <w:rsid w:val="341047AD"/>
    <w:rsid w:val="3449606C"/>
    <w:rsid w:val="352A08B3"/>
    <w:rsid w:val="397F6981"/>
    <w:rsid w:val="39F41B2C"/>
    <w:rsid w:val="3A381365"/>
    <w:rsid w:val="3C022BF1"/>
    <w:rsid w:val="3C2023D3"/>
    <w:rsid w:val="3EA529C2"/>
    <w:rsid w:val="3F076C49"/>
    <w:rsid w:val="3FCD25B5"/>
    <w:rsid w:val="414A694D"/>
    <w:rsid w:val="420A6395"/>
    <w:rsid w:val="451C05FC"/>
    <w:rsid w:val="468E237B"/>
    <w:rsid w:val="47A137B4"/>
    <w:rsid w:val="49093EFB"/>
    <w:rsid w:val="491860A6"/>
    <w:rsid w:val="4B893DC6"/>
    <w:rsid w:val="4E066B85"/>
    <w:rsid w:val="4E21103B"/>
    <w:rsid w:val="4EA645C4"/>
    <w:rsid w:val="4F5E5A56"/>
    <w:rsid w:val="4F7F1064"/>
    <w:rsid w:val="4FEF36C3"/>
    <w:rsid w:val="4FFB2504"/>
    <w:rsid w:val="502F37E1"/>
    <w:rsid w:val="508362F4"/>
    <w:rsid w:val="509D21C3"/>
    <w:rsid w:val="50E80277"/>
    <w:rsid w:val="523E7F85"/>
    <w:rsid w:val="52440DF3"/>
    <w:rsid w:val="569C0514"/>
    <w:rsid w:val="572F0D85"/>
    <w:rsid w:val="583D646B"/>
    <w:rsid w:val="583F43BD"/>
    <w:rsid w:val="588E4F35"/>
    <w:rsid w:val="58CD596D"/>
    <w:rsid w:val="5B9A5780"/>
    <w:rsid w:val="5BB252AF"/>
    <w:rsid w:val="5FF1221C"/>
    <w:rsid w:val="60562764"/>
    <w:rsid w:val="61796FE0"/>
    <w:rsid w:val="61A4341F"/>
    <w:rsid w:val="61BC1BD6"/>
    <w:rsid w:val="62797DEA"/>
    <w:rsid w:val="62DE52E2"/>
    <w:rsid w:val="634506A4"/>
    <w:rsid w:val="63841D49"/>
    <w:rsid w:val="63946CD8"/>
    <w:rsid w:val="650D3848"/>
    <w:rsid w:val="651F0D83"/>
    <w:rsid w:val="659020F8"/>
    <w:rsid w:val="65A73522"/>
    <w:rsid w:val="65E201DD"/>
    <w:rsid w:val="66201FF5"/>
    <w:rsid w:val="66256EB2"/>
    <w:rsid w:val="67291B79"/>
    <w:rsid w:val="68147ABF"/>
    <w:rsid w:val="68F02E34"/>
    <w:rsid w:val="696E08D3"/>
    <w:rsid w:val="6A197999"/>
    <w:rsid w:val="6A6A47D0"/>
    <w:rsid w:val="6B927FCF"/>
    <w:rsid w:val="6D6A2F6F"/>
    <w:rsid w:val="6D883CBA"/>
    <w:rsid w:val="6EAD407E"/>
    <w:rsid w:val="7325004A"/>
    <w:rsid w:val="74E73F3B"/>
    <w:rsid w:val="771C13B4"/>
    <w:rsid w:val="7AE34C7D"/>
    <w:rsid w:val="7E1B6355"/>
    <w:rsid w:val="7E3E6557"/>
    <w:rsid w:val="7F3649C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nhideWhenUsed="0" w:uiPriority="99"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99" w:semiHidden="0" w:name="Emphasis"/>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semiHidden="0" w:name="Balloon Text"/>
    <w:lsdException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2"/>
    <w:semiHidden/>
    <w:uiPriority w:val="99"/>
    <w:pPr>
      <w:ind w:left="100" w:leftChars="2500"/>
    </w:pPr>
  </w:style>
  <w:style w:type="paragraph" w:styleId="3">
    <w:name w:val="Balloon Text"/>
    <w:basedOn w:val="1"/>
    <w:link w:val="13"/>
    <w:uiPriority w:val="99"/>
    <w:rPr>
      <w:sz w:val="18"/>
      <w:szCs w:val="18"/>
    </w:rPr>
  </w:style>
  <w:style w:type="paragraph" w:styleId="4">
    <w:name w:val="footer"/>
    <w:basedOn w:val="1"/>
    <w:link w:val="14"/>
    <w:qFormat/>
    <w:uiPriority w:val="99"/>
    <w:pPr>
      <w:tabs>
        <w:tab w:val="center" w:pos="4153"/>
        <w:tab w:val="right" w:pos="8306"/>
      </w:tabs>
      <w:snapToGrid w:val="0"/>
      <w:jc w:val="left"/>
    </w:pPr>
    <w:rPr>
      <w:sz w:val="18"/>
      <w:szCs w:val="18"/>
    </w:rPr>
  </w:style>
  <w:style w:type="paragraph" w:styleId="5">
    <w:name w:val="header"/>
    <w:basedOn w:val="1"/>
    <w:link w:val="15"/>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uiPriority w:val="99"/>
    <w:rPr>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9">
    <w:name w:val="Strong"/>
    <w:basedOn w:val="8"/>
    <w:qFormat/>
    <w:uiPriority w:val="99"/>
    <w:rPr>
      <w:rFonts w:cs="Times New Roman"/>
      <w:b/>
      <w:bCs/>
    </w:rPr>
  </w:style>
  <w:style w:type="character" w:styleId="10">
    <w:name w:val="Emphasis"/>
    <w:basedOn w:val="8"/>
    <w:qFormat/>
    <w:uiPriority w:val="99"/>
    <w:rPr>
      <w:rFonts w:cs="Times New Roman"/>
      <w:i/>
      <w:iCs/>
    </w:rPr>
  </w:style>
  <w:style w:type="character" w:styleId="11">
    <w:name w:val="Hyperlink"/>
    <w:basedOn w:val="8"/>
    <w:qFormat/>
    <w:uiPriority w:val="99"/>
    <w:rPr>
      <w:rFonts w:cs="Times New Roman"/>
      <w:color w:val="0000FF"/>
      <w:u w:val="single"/>
    </w:rPr>
  </w:style>
  <w:style w:type="character" w:customStyle="1" w:styleId="12">
    <w:name w:val="Date Char"/>
    <w:basedOn w:val="8"/>
    <w:link w:val="2"/>
    <w:semiHidden/>
    <w:locked/>
    <w:uiPriority w:val="99"/>
    <w:rPr>
      <w:rFonts w:ascii="Calibri" w:hAnsi="Calibri" w:eastAsia="宋体" w:cs="Times New Roman"/>
      <w:kern w:val="2"/>
      <w:sz w:val="24"/>
      <w:szCs w:val="24"/>
    </w:rPr>
  </w:style>
  <w:style w:type="character" w:customStyle="1" w:styleId="13">
    <w:name w:val="Balloon Text Char"/>
    <w:basedOn w:val="8"/>
    <w:link w:val="3"/>
    <w:locked/>
    <w:uiPriority w:val="99"/>
    <w:rPr>
      <w:rFonts w:cs="Times New Roman"/>
      <w:kern w:val="2"/>
      <w:sz w:val="18"/>
      <w:szCs w:val="18"/>
    </w:rPr>
  </w:style>
  <w:style w:type="character" w:customStyle="1" w:styleId="14">
    <w:name w:val="Footer Char"/>
    <w:basedOn w:val="8"/>
    <w:link w:val="4"/>
    <w:locked/>
    <w:uiPriority w:val="99"/>
    <w:rPr>
      <w:rFonts w:cs="Times New Roman"/>
      <w:kern w:val="2"/>
      <w:sz w:val="18"/>
      <w:szCs w:val="18"/>
    </w:rPr>
  </w:style>
  <w:style w:type="character" w:customStyle="1" w:styleId="15">
    <w:name w:val="Header Char"/>
    <w:basedOn w:val="8"/>
    <w:link w:val="5"/>
    <w:locked/>
    <w:uiPriority w:val="99"/>
    <w:rPr>
      <w:rFonts w:cs="Times New Roman"/>
      <w:kern w:val="2"/>
      <w:sz w:val="18"/>
      <w:szCs w:val="18"/>
    </w:rPr>
  </w:style>
  <w:style w:type="character" w:customStyle="1" w:styleId="16">
    <w:name w:val="apple-converted-space"/>
    <w:basedOn w:val="8"/>
    <w:uiPriority w:val="99"/>
    <w:rPr>
      <w:rFonts w:cs="Times New Roman"/>
    </w:rPr>
  </w:style>
  <w:style w:type="paragraph" w:styleId="17">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Microsoft</Company>
  <Pages>10</Pages>
  <Words>1102</Words>
  <Characters>6282</Characters>
  <Lines>0</Lines>
  <Paragraphs>0</Paragraphs>
  <TotalTime>233</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2021-03-11T08:29:00Z</dcterms:created>
  <dc:creator>交流部</dc:creator>
  <cp:lastModifiedBy>wd</cp:lastModifiedBy>
  <cp:lastPrinted>2021-04-09T06:49:00Z</cp:lastPrinted>
  <dcterms:modified xsi:type="dcterms:W3CDTF">2021-04-13T02:49:12Z</dcterms:modified>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